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2779C" w14:textId="716F2119" w:rsidR="0080096D" w:rsidRPr="00BA74EE" w:rsidRDefault="0080096D" w:rsidP="0080096D">
      <w:pPr>
        <w:pStyle w:val="VSUTitle"/>
        <w:ind w:left="0"/>
        <w:jc w:val="center"/>
      </w:pPr>
      <w:r w:rsidRPr="00BA74EE">
        <w:t xml:space="preserve">ИКОНОМИЧЕСКИЯТ ФАКТОР КАТО КЛЮЧ В ПЛАНИРАНЕТО НА ДЕЙНОСТИТЕ ПО </w:t>
      </w:r>
      <w:r w:rsidR="00774CF3">
        <w:t>Републиканската</w:t>
      </w:r>
      <w:r w:rsidRPr="00BA74EE">
        <w:t xml:space="preserve"> пътна мрежа</w:t>
      </w:r>
    </w:p>
    <w:p w14:paraId="0AD344BC" w14:textId="77777777" w:rsidR="0080096D" w:rsidRPr="00BA74EE" w:rsidRDefault="0080096D" w:rsidP="0080096D">
      <w:pPr>
        <w:pStyle w:val="VSUTitle"/>
        <w:ind w:left="0"/>
      </w:pPr>
    </w:p>
    <w:p w14:paraId="6600A873" w14:textId="22083F17" w:rsidR="0080096D" w:rsidRPr="00BA74EE" w:rsidRDefault="0080096D" w:rsidP="0080096D">
      <w:pPr>
        <w:pStyle w:val="VSUAuthors"/>
      </w:pPr>
      <w:r w:rsidRPr="00BA74EE">
        <w:t>Дина Цоневска</w:t>
      </w:r>
      <w:r w:rsidRPr="00BA74EE">
        <w:rPr>
          <w:rStyle w:val="FootnoteReference"/>
        </w:rPr>
        <w:t xml:space="preserve"> </w:t>
      </w:r>
    </w:p>
    <w:p w14:paraId="424B40E8" w14:textId="77777777" w:rsidR="0080096D" w:rsidRPr="00BA74EE" w:rsidRDefault="0080096D" w:rsidP="0080096D">
      <w:pPr>
        <w:pStyle w:val="VSUMain"/>
        <w:ind w:firstLine="0"/>
      </w:pPr>
    </w:p>
    <w:p w14:paraId="6A1B466E" w14:textId="77777777" w:rsidR="0080096D" w:rsidRPr="00BA74EE" w:rsidRDefault="0080096D" w:rsidP="0080096D">
      <w:pPr>
        <w:pStyle w:val="VSUInstitution"/>
        <w:ind w:left="0"/>
        <w:jc w:val="right"/>
        <w:rPr>
          <w:i w:val="0"/>
        </w:rPr>
      </w:pPr>
    </w:p>
    <w:p w14:paraId="3369CF31" w14:textId="77777777" w:rsidR="0080096D" w:rsidRPr="00BA74EE" w:rsidRDefault="0080096D" w:rsidP="0080096D">
      <w:pPr>
        <w:pStyle w:val="VSUMain"/>
        <w:ind w:firstLine="0"/>
      </w:pPr>
    </w:p>
    <w:p w14:paraId="7D3E4D7C" w14:textId="77777777" w:rsidR="0080096D" w:rsidRPr="00BA74EE" w:rsidRDefault="0080096D" w:rsidP="0080096D">
      <w:pPr>
        <w:pStyle w:val="VSUMain"/>
        <w:ind w:firstLine="0"/>
      </w:pPr>
    </w:p>
    <w:p w14:paraId="5A2F8136" w14:textId="2C254D6B" w:rsidR="0080096D" w:rsidRPr="00BA74EE" w:rsidRDefault="0080096D" w:rsidP="0080096D">
      <w:pPr>
        <w:pStyle w:val="VSUInstitution"/>
        <w:ind w:left="0"/>
        <w:jc w:val="both"/>
      </w:pPr>
      <w:r w:rsidRPr="00BA74EE">
        <w:rPr>
          <w:b/>
        </w:rPr>
        <w:t>Резюме:</w:t>
      </w:r>
      <w:r w:rsidRPr="00BA74EE">
        <w:t xml:space="preserve"> Транспортът играе ключова роля за икономическото и социалното развитие. От една страна, инвестициите в транспортния сектор стимулират икономическия растеж, </w:t>
      </w:r>
      <w:r>
        <w:rPr>
          <w:lang w:val="en-US"/>
        </w:rPr>
        <w:t>a o</w:t>
      </w:r>
      <w:r w:rsidRPr="00BA74EE">
        <w:t>т друга страна, подобряването на транспортните услуги спомага за намаляване на цените на ресурсите и по този начин — за намаляване на производствените разходи, за увеличаване на възможностите за достъп до различни пазари. Важен проблем при определянето на необходимостта от изграждане на обекти на транспортната инфраструктура е отчитането на икономическия фактор на проектите. Това е необходимо за вземането на решения относно прилагането на транспортната политика на национално и международно равнище. Извеждането на икономическия фактор като ключов при планирането на дейностите по националната пътна мрежа има широка обществена значимост, което налага подобряване на координацията по отношение на неговото прилагане.</w:t>
      </w:r>
    </w:p>
    <w:p w14:paraId="6B7CD57F" w14:textId="77777777" w:rsidR="0080096D" w:rsidRPr="00BA74EE" w:rsidRDefault="0080096D" w:rsidP="0080096D">
      <w:pPr>
        <w:pStyle w:val="VSUInstitution"/>
        <w:ind w:left="0"/>
        <w:jc w:val="both"/>
      </w:pPr>
    </w:p>
    <w:p w14:paraId="2F176405" w14:textId="77777777" w:rsidR="0080096D" w:rsidRDefault="0080096D" w:rsidP="0080096D">
      <w:pPr>
        <w:pStyle w:val="VSUInstitution"/>
        <w:ind w:left="0"/>
        <w:jc w:val="both"/>
      </w:pPr>
      <w:r w:rsidRPr="00BA74EE">
        <w:rPr>
          <w:b/>
        </w:rPr>
        <w:t>Ключови думи</w:t>
      </w:r>
      <w:r w:rsidRPr="00BA74EE">
        <w:t xml:space="preserve">: (Транспорт, икономически растеж, планиране, транспортна политика) </w:t>
      </w:r>
    </w:p>
    <w:p w14:paraId="2BDD90E2" w14:textId="77777777" w:rsidR="0080096D" w:rsidRDefault="0080096D" w:rsidP="0080096D">
      <w:pPr>
        <w:pStyle w:val="VSUInstitution"/>
        <w:ind w:left="0"/>
        <w:jc w:val="both"/>
      </w:pPr>
    </w:p>
    <w:p w14:paraId="12354EAE" w14:textId="4D08B731" w:rsidR="0080096D" w:rsidRDefault="0080096D" w:rsidP="0080096D">
      <w:pPr>
        <w:pStyle w:val="VSUInstitution"/>
        <w:ind w:left="0"/>
        <w:jc w:val="both"/>
      </w:pPr>
      <w:r>
        <w:rPr>
          <w:b/>
        </w:rPr>
        <w:t>Abstract</w:t>
      </w:r>
      <w:r w:rsidRPr="00BF69B7">
        <w:t xml:space="preserve">: </w:t>
      </w:r>
      <w:r w:rsidRPr="00E308D3">
        <w:t>Transport has a key role in economic and social development</w:t>
      </w:r>
      <w:r>
        <w:rPr>
          <w:lang w:val="en-US"/>
        </w:rPr>
        <w:t xml:space="preserve">. </w:t>
      </w:r>
      <w:r w:rsidRPr="00E308D3">
        <w:t>On one hand, investment in the transport sector boosts</w:t>
      </w:r>
      <w:r>
        <w:t xml:space="preserve"> economic</w:t>
      </w:r>
      <w:r w:rsidRPr="00E308D3">
        <w:t xml:space="preserve"> growth</w:t>
      </w:r>
      <w:r>
        <w:rPr>
          <w:lang w:val="en-US"/>
        </w:rPr>
        <w:t>,</w:t>
      </w:r>
      <w:r w:rsidRPr="00E308D3">
        <w:t xml:space="preserve"> </w:t>
      </w:r>
      <w:r>
        <w:rPr>
          <w:lang w:val="en-US"/>
        </w:rPr>
        <w:t>o</w:t>
      </w:r>
      <w:r w:rsidRPr="00E308D3">
        <w:t xml:space="preserve">n the other hand, the improvement of the transport service helps to reduce the prices of resources and thus - to reduce the production costs, to increase the possibilities of access to different markets. An important problem in defining the need for the construction of transport infrastructure objects is consideration of the economic factor of the projects. It is necessary for making decisions on the implementation of transport policy at the national and international level. Bringing out the economic factor as a key factor in the planning of activities on the </w:t>
      </w:r>
      <w:r>
        <w:t>n</w:t>
      </w:r>
      <w:r w:rsidRPr="0025303C">
        <w:t xml:space="preserve">ational </w:t>
      </w:r>
      <w:r>
        <w:t>r</w:t>
      </w:r>
      <w:r w:rsidRPr="0025303C">
        <w:t xml:space="preserve">oad </w:t>
      </w:r>
      <w:r>
        <w:t>n</w:t>
      </w:r>
      <w:r w:rsidRPr="0025303C">
        <w:t>etwork</w:t>
      </w:r>
      <w:r>
        <w:t xml:space="preserve"> </w:t>
      </w:r>
      <w:r w:rsidRPr="00E308D3">
        <w:t>has a wide public significance, this necessitates the improvement of coordination in terms of its implementation.</w:t>
      </w:r>
    </w:p>
    <w:p w14:paraId="5B777E4E" w14:textId="77777777" w:rsidR="0080096D" w:rsidRPr="00BA74EE" w:rsidRDefault="0080096D" w:rsidP="0080096D">
      <w:pPr>
        <w:pStyle w:val="VSUInstitution"/>
        <w:ind w:left="0"/>
        <w:jc w:val="both"/>
      </w:pPr>
    </w:p>
    <w:p w14:paraId="4B30EFAA" w14:textId="77777777" w:rsidR="00B01F91" w:rsidRDefault="00B01F91"/>
    <w:p w14:paraId="06B5409B" w14:textId="77777777" w:rsidR="0080096D" w:rsidRPr="00BA74EE" w:rsidRDefault="0080096D" w:rsidP="0080096D">
      <w:pPr>
        <w:pStyle w:val="VSUHeadings"/>
      </w:pPr>
      <w:r w:rsidRPr="00BA74EE">
        <w:t>1</w:t>
      </w:r>
      <w:r>
        <w:t>.</w:t>
      </w:r>
      <w:r w:rsidRPr="00BA74EE">
        <w:t xml:space="preserve"> ВЪВЕДЕНИЕ</w:t>
      </w:r>
    </w:p>
    <w:p w14:paraId="727C2457" w14:textId="77777777" w:rsidR="0080096D" w:rsidRPr="00BA74EE" w:rsidRDefault="0080096D" w:rsidP="0080096D">
      <w:pPr>
        <w:pStyle w:val="VSUMain"/>
      </w:pPr>
    </w:p>
    <w:p w14:paraId="3670C678" w14:textId="6268B794" w:rsidR="0080096D" w:rsidRPr="00BA74EE" w:rsidRDefault="0080096D" w:rsidP="0080096D">
      <w:pPr>
        <w:pStyle w:val="VSUMain"/>
      </w:pPr>
      <w:r w:rsidRPr="00BA74EE">
        <w:t>Пътната мрежа в България е важен инфраструктурен компонент, който улеснява движението на хора, стоки и услуги в цялата страна. Той играе ключова роля в подкрепа на икономическите дейности, регионалното развитие и повишаването на цялостното качество на живот на българските граждани. Планирането и развитието на ефективна пътна мрежа обаче изискват внимателно отчитане на различни икономически фактори.</w:t>
      </w:r>
    </w:p>
    <w:p w14:paraId="1F7AAEFB" w14:textId="77777777" w:rsidR="0080096D" w:rsidRPr="00BA74EE" w:rsidRDefault="0080096D" w:rsidP="0080096D">
      <w:pPr>
        <w:pStyle w:val="VSUMain"/>
      </w:pPr>
      <w:r w:rsidRPr="00BA74EE">
        <w:t>Целта на тази статия е да се вникне в икономическите фактори, които оказват съществено влияние върху дейностите по планиране на пътната мрежа в България. Като разбират тези фактори, политиците, урбанистите и заинтересованите страни могат да вземат информирани решения, за да гарантират ефективността, устойчивостта и приноса на пътната мрежа за икономическия растеж на страната.</w:t>
      </w:r>
    </w:p>
    <w:p w14:paraId="40978E4D" w14:textId="77777777" w:rsidR="0080096D" w:rsidRPr="00BA74EE" w:rsidRDefault="0080096D" w:rsidP="0080096D">
      <w:pPr>
        <w:pStyle w:val="VSUMain"/>
      </w:pPr>
    </w:p>
    <w:p w14:paraId="205D3D6A" w14:textId="66578E5E" w:rsidR="0080096D" w:rsidRPr="00BA74EE" w:rsidRDefault="0080096D" w:rsidP="0080096D">
      <w:pPr>
        <w:pStyle w:val="VSUMain"/>
      </w:pPr>
      <w:r w:rsidRPr="00BA74EE">
        <w:t>В статията ще бъде разгледан многостранният характер на икономическите фактори и тяхното въздействие върху планирането на пътната мрежа. Ще бъдат анализирани разходите за строителство и поддръжка на пътищата, очакваният обем на трафика, връзката между икономическото развитие и планирането на пътната мрежа, както и наличието на финансиране. Всеки един от тези фактори играе решаваща роля при формирането на дизайна, капацитета и цялостния успех на пътната мрежа.</w:t>
      </w:r>
    </w:p>
    <w:p w14:paraId="78ED0D4E" w14:textId="47FD91AD" w:rsidR="0080096D" w:rsidRPr="00BA74EE" w:rsidRDefault="0080096D" w:rsidP="0080096D">
      <w:pPr>
        <w:pStyle w:val="VSUMain"/>
      </w:pPr>
      <w:r w:rsidRPr="00BA74EE">
        <w:t>Освен това в статията ще бъдат подчертани предизвикателствата и възможностите, пред които е изправена българската икономика във връзка с планирането на пътната мрежа. Тя ще се занимае с проблеми като бедността, корупцията и ограниченото финансиране, които могат да попречат на ефективното развитие на пътната мрежа. Освен това тя ще хвърли светлина върху потенциалните икономически ползи, които могат да бъдат постигнати чрез стратегическо планиране на пътната мрежа, включително увеличаване на възможностите за търговия, регионално развитие и привличане на инвестиции.</w:t>
      </w:r>
    </w:p>
    <w:p w14:paraId="441A0E81" w14:textId="65CA7868" w:rsidR="0080096D" w:rsidRPr="00BA74EE" w:rsidRDefault="0080096D" w:rsidP="0080096D">
      <w:pPr>
        <w:pStyle w:val="VSUMain"/>
      </w:pPr>
      <w:r w:rsidRPr="00BA74EE">
        <w:t>Чрез разглеждането на тези икономически фактори и техните последици, настоящата статия има за цел да предостави ценна информация за дейностите по планиране на пътната мрежа в България. Тя ще служи като източник на информация за политиците, урбанистите и изследователите, като им дава възможност да вземат информирани решения и да разработват стратегии, които са в съответствие с икономическите цели на страната.</w:t>
      </w:r>
    </w:p>
    <w:p w14:paraId="62A5E5AF" w14:textId="237A1077" w:rsidR="0080096D" w:rsidRPr="00BA74EE" w:rsidRDefault="0080096D" w:rsidP="0080096D">
      <w:pPr>
        <w:pStyle w:val="VSUMain"/>
      </w:pPr>
      <w:r w:rsidRPr="00BA74EE">
        <w:t xml:space="preserve">Пътната мрежа в България е важен компонент от инфраструктурата на страната, който свързва хора, стоки и услуги. Икономическите фактори играят ключова роля в дейностите по планиране на пътната мрежа, като оказват влияние върху решенията, свързани с разходите, обема на трафика, икономическото развитие и наличието на финансиране. Чрез разбирането и преодоляването на тези икономически фактори България може да изгради стабилна и устойчива пътна мрежа, която да подпомага икономическия растеж, регионалното развитие и да повишава цялостното благосъстояние на своите граждани. </w:t>
      </w:r>
    </w:p>
    <w:p w14:paraId="54E4F3CD" w14:textId="77777777" w:rsidR="0080096D" w:rsidRPr="00BA74EE" w:rsidRDefault="0080096D" w:rsidP="0080096D">
      <w:pPr>
        <w:pStyle w:val="VSUMain"/>
        <w:ind w:firstLine="0"/>
        <w:rPr>
          <w:color w:val="FF0000"/>
        </w:rPr>
      </w:pPr>
    </w:p>
    <w:p w14:paraId="0A461B12" w14:textId="675ABACF" w:rsidR="0080096D" w:rsidRPr="00BA74EE" w:rsidRDefault="0080096D" w:rsidP="0080096D">
      <w:pPr>
        <w:pStyle w:val="VSUMain"/>
      </w:pPr>
      <w:r>
        <w:rPr>
          <w:b/>
          <w:lang w:val="en-US"/>
        </w:rPr>
        <w:t>2</w:t>
      </w:r>
      <w:r>
        <w:rPr>
          <w:b/>
        </w:rPr>
        <w:t>.</w:t>
      </w:r>
      <w:r w:rsidRPr="00BA74EE">
        <w:rPr>
          <w:b/>
        </w:rPr>
        <w:t xml:space="preserve"> ВЪЗМОЖНОСТИ ЗА ИКОНОМИЧЕСКИ РАСТЕЖ ЧРЕЗ ПЛАНИРАНЕ НА ПЪТНАТА МРЕЖА</w:t>
      </w:r>
    </w:p>
    <w:p w14:paraId="3E8928E0" w14:textId="77777777" w:rsidR="0080096D" w:rsidRPr="00BA74EE" w:rsidRDefault="0080096D" w:rsidP="0080096D">
      <w:pPr>
        <w:pStyle w:val="VSUMain"/>
        <w:ind w:firstLine="0"/>
      </w:pPr>
    </w:p>
    <w:p w14:paraId="2EF20114" w14:textId="77777777" w:rsidR="0080096D" w:rsidRPr="00BA74EE" w:rsidRDefault="0080096D" w:rsidP="0080096D">
      <w:pPr>
        <w:pStyle w:val="VSUMain"/>
      </w:pPr>
      <w:r w:rsidRPr="00BA74EE">
        <w:t>Планирането на пътната мрежа играе решаваща роля за стимулиране на икономическия растеж чрез подобряване на свързаността, улесняване на търговията и привличане на инвестиции. В този раздел се подчертават потенциалните икономически ползи, произтичащи от планирането на пътната мрежа, и ролята на пътните мрежи за увеличаване на възможностите за търговия и привличане на инвестиции.</w:t>
      </w:r>
    </w:p>
    <w:p w14:paraId="15201EBB" w14:textId="77777777" w:rsidR="0080096D" w:rsidRPr="00BA74EE" w:rsidRDefault="0080096D" w:rsidP="0080096D">
      <w:pPr>
        <w:pStyle w:val="VSUMain"/>
      </w:pPr>
    </w:p>
    <w:p w14:paraId="0C47A3D5" w14:textId="6988C60C" w:rsidR="0080096D" w:rsidRPr="00BA74EE" w:rsidRDefault="0080096D" w:rsidP="0080096D">
      <w:pPr>
        <w:pStyle w:val="VSUHeadings"/>
      </w:pPr>
      <w:r>
        <w:rPr>
          <w:lang w:val="en-US"/>
        </w:rPr>
        <w:t>2</w:t>
      </w:r>
      <w:r w:rsidRPr="00BA74EE">
        <w:t>.1. Икономически ползи от планирането на пътната мрежа</w:t>
      </w:r>
    </w:p>
    <w:p w14:paraId="3364E930" w14:textId="77777777" w:rsidR="0080096D" w:rsidRPr="00BA74EE" w:rsidRDefault="0080096D" w:rsidP="0080096D">
      <w:pPr>
        <w:pStyle w:val="VSUHeadings"/>
        <w:keepNext/>
      </w:pPr>
      <w:r w:rsidRPr="00BA74EE">
        <w:rPr>
          <w:noProof/>
          <w:lang w:eastAsia="bg-BG"/>
        </w:rPr>
        <w:drawing>
          <wp:inline distT="0" distB="0" distL="0" distR="0" wp14:anchorId="1CE83541" wp14:editId="649D0691">
            <wp:extent cx="4756150" cy="1454150"/>
            <wp:effectExtent l="0" t="0" r="44450" b="0"/>
            <wp:docPr id="1099179257"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4152A2DD" w14:textId="77777777" w:rsidR="0080096D" w:rsidRPr="00BA74EE" w:rsidRDefault="0080096D" w:rsidP="0080096D">
      <w:pPr>
        <w:pStyle w:val="Caption"/>
        <w:spacing w:before="120" w:after="240"/>
        <w:jc w:val="center"/>
        <w:rPr>
          <w:color w:val="auto"/>
          <w:sz w:val="20"/>
          <w:szCs w:val="20"/>
        </w:rPr>
      </w:pPr>
      <w:r w:rsidRPr="00BA74EE">
        <w:rPr>
          <w:color w:val="auto"/>
          <w:sz w:val="20"/>
        </w:rPr>
        <w:t xml:space="preserve">Фигура </w:t>
      </w:r>
      <w:r w:rsidRPr="00BA74EE">
        <w:rPr>
          <w:color w:val="auto"/>
          <w:sz w:val="20"/>
        </w:rPr>
        <w:fldChar w:fldCharType="begin"/>
      </w:r>
      <w:r w:rsidRPr="00BA74EE">
        <w:rPr>
          <w:color w:val="auto"/>
          <w:sz w:val="20"/>
        </w:rPr>
        <w:instrText xml:space="preserve"> SEQ Figure \* ARABIC </w:instrText>
      </w:r>
      <w:r w:rsidRPr="00BA74EE">
        <w:rPr>
          <w:color w:val="auto"/>
          <w:sz w:val="20"/>
        </w:rPr>
        <w:fldChar w:fldCharType="separate"/>
      </w:r>
      <w:r w:rsidRPr="00BA74EE">
        <w:rPr>
          <w:color w:val="auto"/>
          <w:sz w:val="20"/>
        </w:rPr>
        <w:t>2</w:t>
      </w:r>
      <w:r w:rsidRPr="00BA74EE">
        <w:rPr>
          <w:color w:val="auto"/>
          <w:sz w:val="20"/>
        </w:rPr>
        <w:fldChar w:fldCharType="end"/>
      </w:r>
      <w:r w:rsidRPr="00BA74EE">
        <w:rPr>
          <w:color w:val="auto"/>
          <w:sz w:val="20"/>
        </w:rPr>
        <w:t xml:space="preserve"> Икономически ползи от планирането на пътната мрежа</w:t>
      </w:r>
    </w:p>
    <w:p w14:paraId="1A3EDC9E" w14:textId="77777777" w:rsidR="0080096D" w:rsidRPr="00BA74EE" w:rsidRDefault="0080096D" w:rsidP="0080096D">
      <w:pPr>
        <w:pStyle w:val="VSUMain"/>
      </w:pPr>
      <w:r w:rsidRPr="00BA74EE">
        <w:lastRenderedPageBreak/>
        <w:t xml:space="preserve">Добре планираните пътни мрежи подобряват свързаността между регионите, градовете и икономическите центрове. Това дава възможност за ефикасно движение на стоки, услуги и хора, намаляване на транспортните разходи и засилване на икономическата интеграция. </w:t>
      </w:r>
    </w:p>
    <w:p w14:paraId="78A25530" w14:textId="77777777" w:rsidR="0080096D" w:rsidRPr="00BA74EE" w:rsidRDefault="0080096D" w:rsidP="0080096D">
      <w:pPr>
        <w:pStyle w:val="VSUMain"/>
      </w:pPr>
      <w:r w:rsidRPr="00BA74EE">
        <w:t xml:space="preserve">Подобрените пътни мрежи улесняват движението на стоки, като дават възможност на предприятията да получат достъп до по-големи пазари и да разширят клиентската си база. Това може да доведе до увеличаване на търговските дейности както в страната, така и в международен план. </w:t>
      </w:r>
    </w:p>
    <w:p w14:paraId="06AB10B2" w14:textId="77777777" w:rsidR="0080096D" w:rsidRPr="00BA74EE" w:rsidRDefault="0080096D" w:rsidP="0080096D">
      <w:pPr>
        <w:pStyle w:val="VSUMain"/>
      </w:pPr>
      <w:r w:rsidRPr="00BA74EE">
        <w:t xml:space="preserve">Проектите за планиране и изграждане на пътна мрежа създават възможности за заетост, както пряко, така и косвено. Строителният сектор се възползва от създаването на работни места по време на етапа на развитие на пътната инфраструктура, докато подобрената свързаност може да привлече предприятия и индустрии, което води до допълнителни възможности за работа. </w:t>
      </w:r>
    </w:p>
    <w:p w14:paraId="6BAC32AF" w14:textId="77777777" w:rsidR="0080096D" w:rsidRPr="00BA74EE" w:rsidRDefault="0080096D" w:rsidP="0080096D">
      <w:pPr>
        <w:pStyle w:val="VSUMain"/>
      </w:pPr>
      <w:r w:rsidRPr="00BA74EE">
        <w:t>Добре планираните пътни мрежи могат да стимулират регионалното развитие, като свързват изолирани или слабо развити райони. Това може да доведе до привличане на инвестиции, насърчаване на туризма и насърчаване на икономическите дейности в тези региони.</w:t>
      </w:r>
    </w:p>
    <w:p w14:paraId="4821625A" w14:textId="77777777" w:rsidR="0080096D" w:rsidRPr="00BA74EE" w:rsidRDefault="0080096D" w:rsidP="0080096D">
      <w:pPr>
        <w:pStyle w:val="VSUMain"/>
      </w:pPr>
    </w:p>
    <w:p w14:paraId="43C6FD6C" w14:textId="77777777" w:rsidR="0080096D" w:rsidRPr="00BA74EE" w:rsidRDefault="0080096D" w:rsidP="0080096D">
      <w:pPr>
        <w:pStyle w:val="VSUHeadings"/>
      </w:pPr>
      <w:r w:rsidRPr="00BA74EE">
        <w:t>6.2. Ролята на пътните мрежи за привличане на инвестиции:</w:t>
      </w:r>
    </w:p>
    <w:p w14:paraId="43F4F333" w14:textId="77777777" w:rsidR="0080096D" w:rsidRPr="00BA74EE" w:rsidRDefault="0080096D" w:rsidP="0080096D">
      <w:pPr>
        <w:pStyle w:val="VSUHeadings"/>
        <w:keepNext/>
      </w:pPr>
      <w:r w:rsidRPr="00BA74EE">
        <w:rPr>
          <w:noProof/>
          <w:lang w:eastAsia="bg-BG"/>
        </w:rPr>
        <w:drawing>
          <wp:inline distT="0" distB="0" distL="0" distR="0" wp14:anchorId="76724B5D" wp14:editId="318EFE9F">
            <wp:extent cx="5073650" cy="1682750"/>
            <wp:effectExtent l="0" t="0" r="0" b="0"/>
            <wp:docPr id="102317347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2722B2A3" w14:textId="77777777" w:rsidR="0080096D" w:rsidRPr="00BA74EE" w:rsidRDefault="0080096D" w:rsidP="0080096D">
      <w:pPr>
        <w:pStyle w:val="Caption"/>
        <w:spacing w:before="120" w:after="240"/>
        <w:jc w:val="center"/>
        <w:rPr>
          <w:color w:val="auto"/>
          <w:sz w:val="20"/>
          <w:szCs w:val="20"/>
        </w:rPr>
      </w:pPr>
      <w:r w:rsidRPr="00BA74EE">
        <w:rPr>
          <w:color w:val="auto"/>
          <w:sz w:val="20"/>
        </w:rPr>
        <w:t xml:space="preserve">Фигура </w:t>
      </w:r>
      <w:r w:rsidRPr="00BA74EE">
        <w:rPr>
          <w:color w:val="auto"/>
          <w:sz w:val="20"/>
        </w:rPr>
        <w:fldChar w:fldCharType="begin"/>
      </w:r>
      <w:r w:rsidRPr="00BA74EE">
        <w:rPr>
          <w:color w:val="auto"/>
          <w:sz w:val="20"/>
        </w:rPr>
        <w:instrText xml:space="preserve"> SEQ Figure \* ARABIC </w:instrText>
      </w:r>
      <w:r w:rsidRPr="00BA74EE">
        <w:rPr>
          <w:color w:val="auto"/>
          <w:sz w:val="20"/>
        </w:rPr>
        <w:fldChar w:fldCharType="separate"/>
      </w:r>
      <w:r w:rsidRPr="00BA74EE">
        <w:rPr>
          <w:color w:val="auto"/>
          <w:sz w:val="20"/>
        </w:rPr>
        <w:t>3</w:t>
      </w:r>
      <w:r w:rsidRPr="00BA74EE">
        <w:rPr>
          <w:color w:val="auto"/>
          <w:sz w:val="20"/>
        </w:rPr>
        <w:fldChar w:fldCharType="end"/>
      </w:r>
      <w:r w:rsidRPr="00BA74EE">
        <w:rPr>
          <w:color w:val="auto"/>
          <w:sz w:val="20"/>
        </w:rPr>
        <w:t xml:space="preserve"> Привличане на инвестиции</w:t>
      </w:r>
    </w:p>
    <w:p w14:paraId="792BD926" w14:textId="77777777" w:rsidR="0080096D" w:rsidRPr="00BA74EE" w:rsidRDefault="0080096D" w:rsidP="0080096D">
      <w:pPr>
        <w:pStyle w:val="VSUMain"/>
      </w:pPr>
      <w:r w:rsidRPr="00BA74EE">
        <w:t xml:space="preserve">   Пътните мрежи осигуряват на предприятията достъп до пазарите, като им позволяват да достигат по-ефективно до клиентите и доставчиците. Тази достъпност може да привлече местни и чуждестранни инвестиции, тъй като компаниите търсят места с добра транспортна инфраструктура. </w:t>
      </w:r>
    </w:p>
    <w:p w14:paraId="22368104" w14:textId="77777777" w:rsidR="0080096D" w:rsidRPr="00BA74EE" w:rsidRDefault="0080096D" w:rsidP="0080096D">
      <w:pPr>
        <w:pStyle w:val="VSUMain"/>
      </w:pPr>
      <w:r w:rsidRPr="00BA74EE">
        <w:t xml:space="preserve">Ефективните пътни мрежи намаляват транспортните разходи и подобряват логистичните операции. Това може да направи дадено място по-привлекателно за бизнеса, тъй като позволява оптимизиране на веригите за доставки, по-кратки срокове за доставка и намаляване на разходите. </w:t>
      </w:r>
    </w:p>
    <w:p w14:paraId="200033D2" w14:textId="77777777" w:rsidR="0080096D" w:rsidRPr="00BA74EE" w:rsidRDefault="0080096D" w:rsidP="0080096D">
      <w:pPr>
        <w:pStyle w:val="VSUMain"/>
      </w:pPr>
      <w:r w:rsidRPr="00BA74EE">
        <w:t xml:space="preserve">Добре планираните пътни мрежи също могат да подпомогнат развитието на индустриални клъстери, като осигурят транспортни връзки между производствените предприятия, доставчиците и центровете за дистрибуция. Този ефект на струпване може да привлече инвестиции и да насърчи сътрудничеството между предприятията. </w:t>
      </w:r>
    </w:p>
    <w:p w14:paraId="42D0D010" w14:textId="77777777" w:rsidR="0080096D" w:rsidRPr="00BA74EE" w:rsidRDefault="0080096D" w:rsidP="0080096D">
      <w:pPr>
        <w:pStyle w:val="VSUMain"/>
      </w:pPr>
      <w:r w:rsidRPr="00BA74EE">
        <w:t>Пътните мрежи могат да създадат икономически коридори, които свързват различни региони или държави, като насърчават търговията и инвестициите по тези маршрути. Тези коридори могат да привлекат развитието на инфраструктурата, логистичните центрове и други икономически дейности.</w:t>
      </w:r>
    </w:p>
    <w:p w14:paraId="5FCAC84F" w14:textId="77777777" w:rsidR="0080096D" w:rsidRPr="00BA74EE" w:rsidRDefault="0080096D" w:rsidP="0080096D">
      <w:pPr>
        <w:pStyle w:val="VSUMain"/>
        <w:ind w:firstLine="0"/>
      </w:pPr>
    </w:p>
    <w:p w14:paraId="01735805" w14:textId="77777777" w:rsidR="0080096D" w:rsidRPr="00BA74EE" w:rsidRDefault="0080096D" w:rsidP="0080096D">
      <w:pPr>
        <w:pStyle w:val="VSUMain"/>
      </w:pPr>
      <w:r w:rsidRPr="00BA74EE">
        <w:t>Планирането на пътната мрежа предлага значителни възможности за икономически растеж. Сред потенциалните икономически ползи са подобрената свързаност, увеличената търговия, създаването на работни места и регионалното развитие. Пътните мрежи също играят решаваща роля за привличането на инвестиции, като осигуряват достъп до пазари, подобряват ефективността на логистиката, подкрепят индустриални клъстери и създават икономически коридори. Освен това добре планираните пътни мрежи подобряват възможностите за търговия, като улесняват трансграничната търговия, повишават конкурентоспособността на износа и насърчават развитието на туризма</w:t>
      </w:r>
      <w:sdt>
        <w:sdtPr>
          <w:id w:val="2104375620"/>
          <w:citation/>
        </w:sdtPr>
        <w:sdtContent>
          <w:r w:rsidRPr="00BA74EE">
            <w:fldChar w:fldCharType="begin"/>
          </w:r>
          <w:r w:rsidRPr="00BA74EE">
            <w:instrText xml:space="preserve"> CITATION Евр08 \l 1033 </w:instrText>
          </w:r>
          <w:r w:rsidRPr="00BA74EE">
            <w:fldChar w:fldCharType="separate"/>
          </w:r>
          <w:r>
            <w:rPr>
              <w:noProof/>
            </w:rPr>
            <w:t xml:space="preserve"> </w:t>
          </w:r>
          <w:r w:rsidRPr="001E31DA">
            <w:rPr>
              <w:noProof/>
            </w:rPr>
            <w:t>(Европейска комисия, 2008)</w:t>
          </w:r>
          <w:r w:rsidRPr="00BA74EE">
            <w:fldChar w:fldCharType="end"/>
          </w:r>
        </w:sdtContent>
      </w:sdt>
      <w:r w:rsidRPr="00BA74EE">
        <w:t xml:space="preserve">. </w:t>
      </w:r>
    </w:p>
    <w:p w14:paraId="5541A057" w14:textId="77777777" w:rsidR="0080096D" w:rsidRPr="00BA74EE" w:rsidRDefault="0080096D" w:rsidP="0080096D">
      <w:pPr>
        <w:pStyle w:val="VSUMain"/>
        <w:ind w:firstLine="0"/>
      </w:pPr>
    </w:p>
    <w:p w14:paraId="51B105FE" w14:textId="2E1A8900" w:rsidR="0080096D" w:rsidRPr="00BA74EE" w:rsidRDefault="0080096D" w:rsidP="0080096D">
      <w:pPr>
        <w:pStyle w:val="VSUMain"/>
        <w:rPr>
          <w:b/>
          <w:bCs/>
        </w:rPr>
      </w:pPr>
      <w:r>
        <w:rPr>
          <w:b/>
          <w:lang w:val="en-US"/>
        </w:rPr>
        <w:t>3</w:t>
      </w:r>
      <w:r w:rsidRPr="00BA74EE">
        <w:rPr>
          <w:b/>
        </w:rPr>
        <w:t>. ИНТЕГРИРАНЕ НА УСТОЙЧИВИ ПРАКТИКИ В ПЛАНИРАНЕТО НА ПЪТНАТА МРЕЖА</w:t>
      </w:r>
    </w:p>
    <w:p w14:paraId="0F3FB9B1" w14:textId="77777777" w:rsidR="0080096D" w:rsidRPr="00BA74EE" w:rsidRDefault="0080096D" w:rsidP="0080096D">
      <w:pPr>
        <w:pStyle w:val="VSUMain"/>
      </w:pPr>
    </w:p>
    <w:p w14:paraId="1AC37BAB" w14:textId="77777777" w:rsidR="0080096D" w:rsidRPr="00BA74EE" w:rsidRDefault="0080096D" w:rsidP="0080096D">
      <w:pPr>
        <w:pStyle w:val="VSUMain"/>
      </w:pPr>
      <w:r w:rsidRPr="00BA74EE">
        <w:t xml:space="preserve">Значението на отчитането на устойчивостта при вземането на икономически решения може да се обобщи в: </w:t>
      </w:r>
    </w:p>
    <w:p w14:paraId="586C03B8" w14:textId="77777777" w:rsidR="0080096D" w:rsidRPr="00BA74EE" w:rsidRDefault="0080096D" w:rsidP="0080096D">
      <w:pPr>
        <w:pStyle w:val="VSUMain"/>
        <w:numPr>
          <w:ilvl w:val="0"/>
          <w:numId w:val="4"/>
        </w:numPr>
      </w:pPr>
      <w:r w:rsidRPr="00BA74EE">
        <w:t xml:space="preserve">Дългосрочна перспектива: Отчитането на устойчивостта при вземането на икономически решения гарантира, че въздействието на планирането на пътната мрежа се оценява не само в краткосрочен, но и в дългосрочен план. Това помага да се избегнат отрицателни последици и да се насърчи благосъстоянието на бъдещите поколения. </w:t>
      </w:r>
    </w:p>
    <w:p w14:paraId="42D79750" w14:textId="77777777" w:rsidR="0080096D" w:rsidRPr="00BA74EE" w:rsidRDefault="0080096D" w:rsidP="0080096D">
      <w:pPr>
        <w:pStyle w:val="VSUMain"/>
        <w:numPr>
          <w:ilvl w:val="0"/>
          <w:numId w:val="4"/>
        </w:numPr>
      </w:pPr>
      <w:r w:rsidRPr="00BA74EE">
        <w:t xml:space="preserve">Опазване на околната среда: Устойчивите практики при планирането на пътната мрежа свеждат до минимум отрицателните въздействия върху околната среда, като например замърсяването на въздуха и шума, унищожаването на местообитанията и въглеродните емисии. Това е от решаващо значение за опазването на природните ресурси и смекчаването на изменението на климата. </w:t>
      </w:r>
    </w:p>
    <w:p w14:paraId="63D4C05C" w14:textId="77777777" w:rsidR="0080096D" w:rsidRPr="00BA74EE" w:rsidRDefault="0080096D" w:rsidP="0080096D">
      <w:pPr>
        <w:pStyle w:val="VSUMain"/>
        <w:numPr>
          <w:ilvl w:val="0"/>
          <w:numId w:val="4"/>
        </w:numPr>
      </w:pPr>
      <w:r w:rsidRPr="00BA74EE">
        <w:t>Социална отговорност: Интегрирането на устойчивото развитие в процеса на вземане на икономически решения демонстрира социална отговорност, като отчита благосъстоянието на общностите, включително тяхното здраве, безопасност и качество на живот. Тя насърчава справедливия достъп до транспорт и свежда до минимум социалните смущения, причинени от проектите за пътна инфраструктура.</w:t>
      </w:r>
    </w:p>
    <w:p w14:paraId="73E483A1" w14:textId="77777777" w:rsidR="0080096D" w:rsidRPr="00BA74EE" w:rsidRDefault="0080096D" w:rsidP="0080096D">
      <w:pPr>
        <w:pStyle w:val="VSUMain"/>
        <w:ind w:firstLine="0"/>
      </w:pPr>
    </w:p>
    <w:p w14:paraId="663EA465" w14:textId="4B069360" w:rsidR="0080096D" w:rsidRPr="00BA74EE" w:rsidRDefault="0080096D" w:rsidP="0080096D">
      <w:pPr>
        <w:pStyle w:val="VSUMain"/>
      </w:pPr>
      <w:r w:rsidRPr="00BA74EE">
        <w:t>Ползи от устойчивото планиране на пътната мрежа за икономиката и околната среда устойчивото планиране на пътната мрежа може да доведе до икономии на разходи в дългосрочен план. Например включването на енергийно ефективни осветителни системи или използването на рециклирани материали може да намали разходите за експлоатация и поддръжка. Освен това устойчивите пътни мрежи могат да привлекат инвестиции, да насърчат туризма и да подобрят икономическото развитие. Устойчивите практики при планирането на пътната мрежа допринасят за опазването на околната среда чрез намаляване на въглеродните емисии, запазване на природните местообитания и подобряване на качеството на въздуха и водата. Това спомага за смекчаване на изменението на климата, опазване на биоразнообразието и подобряване на цялостното състояние на околната среда.</w:t>
      </w:r>
    </w:p>
    <w:p w14:paraId="43DC1B41" w14:textId="5650A390" w:rsidR="0080096D" w:rsidRPr="00BA74EE" w:rsidRDefault="0080096D" w:rsidP="0080096D">
      <w:pPr>
        <w:pStyle w:val="VSUMain"/>
      </w:pPr>
      <w:r w:rsidRPr="00BA74EE">
        <w:t xml:space="preserve">Интегрирането на устойчиви практики в планирането на пътната мрежа е от съществено значение за отчитане на дългосрочните въздействия върху икономиката, околната среда и обществото. България включва зелена инфраструктура, устойчиви материали и елементи на активния транспорт в планирането на пътната си мрежа. Ползите </w:t>
      </w:r>
      <w:r w:rsidRPr="00BA74EE">
        <w:lastRenderedPageBreak/>
        <w:t>от устойчивото планиране на пътната мрежа включват икономическа ефективност, опазване на околната среда, подобряване на здравето и благосъстоянието и повишаване на устойчивостта. Като дава приоритет на устойчивостта, България може да създаде пътна инфраструктура, която да подпомага икономическия растеж, да опазва околната среда и да насърчава благосъстоянието на своите граждани.</w:t>
      </w:r>
    </w:p>
    <w:p w14:paraId="6E0E537E" w14:textId="77777777" w:rsidR="0080096D" w:rsidRPr="00BA74EE" w:rsidRDefault="0080096D" w:rsidP="0080096D">
      <w:pPr>
        <w:pStyle w:val="VSUMain"/>
      </w:pPr>
    </w:p>
    <w:p w14:paraId="36A60288" w14:textId="02E3C5D9" w:rsidR="0080096D" w:rsidRPr="00BA74EE" w:rsidRDefault="0080096D" w:rsidP="0080096D">
      <w:pPr>
        <w:pStyle w:val="VSUHeadings"/>
      </w:pPr>
      <w:r>
        <w:rPr>
          <w:lang w:val="en-US"/>
        </w:rPr>
        <w:t xml:space="preserve">4. </w:t>
      </w:r>
      <w:r w:rsidRPr="00BA74EE">
        <w:t>ЗАКЛЮЧЕНИЕ</w:t>
      </w:r>
    </w:p>
    <w:p w14:paraId="5BB3786F" w14:textId="7729C94E" w:rsidR="0080096D" w:rsidRPr="00BA74EE" w:rsidRDefault="0080096D" w:rsidP="0080096D">
      <w:pPr>
        <w:pStyle w:val="VSUMain"/>
      </w:pPr>
      <w:r w:rsidRPr="00BA74EE">
        <w:t>Важността на разглеждането на икономическите фактори като ключов компонент в дейностите по планиране на националната пътна мрежа подчертава, че икономическите съображения следва да бъдат интегрирани в процесите на вземане на решения, за да се гарантира ефективното разпределение на ресурсите и да се максимизират ползите от инвестициите в пътна инфраструктура.</w:t>
      </w:r>
    </w:p>
    <w:p w14:paraId="61022F44" w14:textId="191CAD60" w:rsidR="0080096D" w:rsidRPr="00BA74EE" w:rsidRDefault="0080096D" w:rsidP="0080096D">
      <w:pPr>
        <w:pStyle w:val="VSUMain"/>
      </w:pPr>
      <w:r w:rsidRPr="00BA74EE">
        <w:t>Икономическите фактори играят решаваща роля при определянето на осъществимостта и жизнеспособността на дейностите по планиране на пътната мрежа. В него се подчертава необходимостта от оценка на икономическото въздействие на пътните проекти, включително на потенциала им да стимулират икономическия растеж, да създават възможности за заетост и да привличат инвестиции. Като вземат предвид икономическите фактори, вземащите решения могат да определят приоритетите на проектите, които имат потенциал да генерират значителни икономически ползи за страната.</w:t>
      </w:r>
    </w:p>
    <w:p w14:paraId="3AA4BE49" w14:textId="7C3405FA" w:rsidR="0080096D" w:rsidRPr="00BA74EE" w:rsidRDefault="0080096D" w:rsidP="0080096D">
      <w:pPr>
        <w:pStyle w:val="VSUMain"/>
      </w:pPr>
      <w:r w:rsidRPr="00BA74EE">
        <w:t>Освен това в него се подчертава значението на анализа на разходите и ползите при оценката на дейностите по планиране на пътната мрежа. В него се посочва, че цялостната оценка на икономическите разходи и ползи, свързани с пътните проекти, е от съществено значение за вземането на информирани решения. Този анализ трябва да вземе предвид фактори като разходи за строителство, разходи за поддръжка, спестяване на време за пътуване и потенциал за увеличаване на икономическата активност.</w:t>
      </w:r>
    </w:p>
    <w:p w14:paraId="64CDD3F5" w14:textId="72D63A4F" w:rsidR="0080096D" w:rsidRPr="00BA74EE" w:rsidRDefault="0080096D" w:rsidP="0080096D">
      <w:pPr>
        <w:pStyle w:val="VSUMain"/>
      </w:pPr>
      <w:r w:rsidRPr="00BA74EE">
        <w:t>В статията се подчертава и необходимостта от сътрудничество между различни заинтересовани страни, включително правителствени агенции, организации от частния сектор и местни общности, за да се гарантира, че икономическите съображения се разглеждат адекватно при планирането на пътната мрежа. В него се подчертава значението на ангажирането на експерти в областта на икономиката и транспортното планиране, които да извършат задълбочени анализи и да предоставят ценни идеи.</w:t>
      </w:r>
    </w:p>
    <w:p w14:paraId="644E2D52" w14:textId="1F87D785" w:rsidR="0080096D" w:rsidRDefault="0080096D" w:rsidP="0080096D">
      <w:pPr>
        <w:pStyle w:val="VSUMain"/>
      </w:pPr>
      <w:r w:rsidRPr="00BA74EE">
        <w:t>Като цяло статията подчертава значението на икономическите фактори в дейностите по планиране на националната пътна мрежа. В него се подчертава необходимостта от цялостно разбиране на икономическото въздействие на пътните проекти и важността на включването на икономическите съображения в процесите на вземане на решения. По този начин България може да оптимизира инвестициите си в пътна инфраструктура и да допринесе за устойчивото икономическо развитие.</w:t>
      </w:r>
    </w:p>
    <w:p w14:paraId="262D9535" w14:textId="3963D5AB" w:rsidR="0080096D" w:rsidRPr="0080096D" w:rsidRDefault="0080096D" w:rsidP="0080096D">
      <w:pPr>
        <w:pStyle w:val="VSUMain"/>
      </w:pPr>
      <w:r w:rsidRPr="0080096D">
        <w:t xml:space="preserve">В резултат от анализа на въздействието на транспорта върху социалния аспект на устойчивото развитие на икономиката на страната могат да бъдат изведени препоръки в следните насоки: - Осигуряването на достъп до стоки и услуги за всички членове на обществото налага изисквания за по-висока степен на сигурност и безопасност на превозите и повисок комфорт. От друга страна нарастването на обема на превозите и повишаването на екологичния риск водят до обратен ефект(Martino et al., 2006); - Повишаването на качеството на транспортните услуги, включително личната сигурност, намаляването на броя на транспортните произшествия и риска за здравето на хората, защитата на правата на пътниците и достъпа до транспорт на населението от отдалечените и периферни райони са </w:t>
      </w:r>
      <w:r w:rsidRPr="0080096D">
        <w:lastRenderedPageBreak/>
        <w:t>изключително важни</w:t>
      </w:r>
      <w:r w:rsidRPr="0080096D">
        <w:rPr>
          <w:lang w:val="en-US"/>
        </w:rPr>
        <w:t xml:space="preserve"> </w:t>
      </w:r>
      <w:r w:rsidRPr="0080096D">
        <w:t>и следва да бъдат изведени като приоритет в транспортната политика, тъй като формират значителни външни разходи, понасяни от цялото общество. Необходимостта от устойчив в социално отношение транспорт е свързана с осигуряване сигурни, достъпни и ефективни транспортни услуги и условия за придвижване с лични моторни превозни средства. Освен това, обществото желае транспортната политика на страната да гарантира сигурността на човешкия живот, да създава предпоставки за разкриването на работни места и да гарантира намаляване на вредното въздействие върху околната среда. За постигането на тези цели са необходими действия за повишаването на пътната безопасност. При това, освен чисто човешкия фактор, съществува и силна икономическа логика за инвестиции в пътната безопасност–изследвания, проведени на ниво ЕС показват, че на 1 евро инвестиции в пътна инфраструктура се очакват около 3 до 14 евро икономии от по-малко пострадали, по-ниски разходи за здравеопазване и щети, в резултат от намаляване броя на ПТП(IMPACT, 2008).Всичко това следва да се има предвид при оценката на инфраструктурните проекти заедно с ефекта от намаляване на времето за пътуване, ползите от подобрената пътна инфраструктура и намаляването на разходите за транспорт за обществото като цяло.</w:t>
      </w:r>
    </w:p>
    <w:p w14:paraId="7A50BED1" w14:textId="77777777" w:rsidR="0080096D" w:rsidRDefault="0080096D" w:rsidP="0080096D">
      <w:pPr>
        <w:spacing w:line="240" w:lineRule="auto"/>
      </w:pPr>
    </w:p>
    <w:sdt>
      <w:sdtPr>
        <w:rPr>
          <w:rFonts w:asciiTheme="minorHAnsi" w:eastAsiaTheme="minorHAnsi" w:hAnsiTheme="minorHAnsi" w:cstheme="minorBidi"/>
          <w:color w:val="auto"/>
          <w:kern w:val="2"/>
          <w:sz w:val="22"/>
          <w:szCs w:val="22"/>
          <w14:ligatures w14:val="standardContextual"/>
        </w:rPr>
        <w:id w:val="822317219"/>
        <w:docPartObj>
          <w:docPartGallery w:val="Bibliographies"/>
          <w:docPartUnique/>
        </w:docPartObj>
      </w:sdtPr>
      <w:sdtContent>
        <w:p w14:paraId="0E705229" w14:textId="1259C25B" w:rsidR="00CD564C" w:rsidRDefault="00CD564C">
          <w:pPr>
            <w:pStyle w:val="Heading1"/>
          </w:pPr>
          <w:r>
            <w:t>Bibliography</w:t>
          </w:r>
        </w:p>
        <w:sdt>
          <w:sdtPr>
            <w:id w:val="111145805"/>
            <w:bibliography/>
          </w:sdtPr>
          <w:sdtContent>
            <w:p w14:paraId="008F4372" w14:textId="77777777" w:rsidR="00CD564C" w:rsidRDefault="00CD564C" w:rsidP="00CD564C">
              <w:pPr>
                <w:pStyle w:val="Bibliography"/>
                <w:ind w:left="720" w:hanging="720"/>
                <w:rPr>
                  <w:noProof/>
                  <w:kern w:val="0"/>
                  <w:sz w:val="24"/>
                  <w:szCs w:val="24"/>
                  <w14:ligatures w14:val="none"/>
                </w:rPr>
              </w:pPr>
              <w:r>
                <w:fldChar w:fldCharType="begin"/>
              </w:r>
              <w:r>
                <w:instrText xml:space="preserve"> BIBLIOGRAPHY </w:instrText>
              </w:r>
              <w:r>
                <w:fldChar w:fldCharType="separate"/>
              </w:r>
              <w:r>
                <w:rPr>
                  <w:noProof/>
                </w:rPr>
                <w:t xml:space="preserve">Technical Committee Evaluation. (2010). </w:t>
              </w:r>
              <w:r>
                <w:rPr>
                  <w:i/>
                  <w:iCs/>
                  <w:noProof/>
                </w:rPr>
                <w:t>Financing of Road Infrastructures: Guide for New Methods of Financing and Public/Private Partnership.</w:t>
              </w:r>
              <w:r>
                <w:rPr>
                  <w:noProof/>
                </w:rPr>
                <w:t xml:space="preserve"> </w:t>
              </w:r>
            </w:p>
            <w:p w14:paraId="131B28BC" w14:textId="77777777" w:rsidR="00CD564C" w:rsidRDefault="00CD564C" w:rsidP="00CD564C">
              <w:pPr>
                <w:pStyle w:val="Bibliography"/>
                <w:ind w:left="720" w:hanging="720"/>
                <w:rPr>
                  <w:noProof/>
                </w:rPr>
              </w:pPr>
              <w:r>
                <w:rPr>
                  <w:noProof/>
                </w:rPr>
                <w:t xml:space="preserve">Calculating Transport Congestion and Scarcity Costs. (2008). </w:t>
              </w:r>
              <w:r>
                <w:rPr>
                  <w:i/>
                  <w:iCs/>
                  <w:noProof/>
                </w:rPr>
                <w:t>Final Report of the Expert Advisors to the High Level Group on Infrastructure Charging.</w:t>
              </w:r>
              <w:r>
                <w:rPr>
                  <w:noProof/>
                </w:rPr>
                <w:t xml:space="preserve"> </w:t>
              </w:r>
            </w:p>
            <w:p w14:paraId="13F6703E" w14:textId="77777777" w:rsidR="00CD564C" w:rsidRDefault="00CD564C" w:rsidP="00CD564C">
              <w:pPr>
                <w:pStyle w:val="Bibliography"/>
                <w:ind w:left="720" w:hanging="720"/>
                <w:rPr>
                  <w:noProof/>
                </w:rPr>
              </w:pPr>
              <w:r>
                <w:rPr>
                  <w:noProof/>
                </w:rPr>
                <w:t xml:space="preserve">OECD. (2021). </w:t>
              </w:r>
              <w:r>
                <w:rPr>
                  <w:i/>
                  <w:iCs/>
                  <w:noProof/>
                </w:rPr>
                <w:t>COVID-19 emergency government support and ensuring a level playing field on the road to recovery.</w:t>
              </w:r>
              <w:r>
                <w:rPr>
                  <w:noProof/>
                </w:rPr>
                <w:t xml:space="preserve"> </w:t>
              </w:r>
            </w:p>
            <w:p w14:paraId="703CC57D" w14:textId="77777777" w:rsidR="00CD564C" w:rsidRDefault="00CD564C" w:rsidP="00CD564C">
              <w:pPr>
                <w:pStyle w:val="Bibliography"/>
                <w:ind w:left="720" w:hanging="720"/>
                <w:rPr>
                  <w:noProof/>
                </w:rPr>
              </w:pPr>
              <w:r>
                <w:rPr>
                  <w:i/>
                  <w:iCs/>
                  <w:noProof/>
                </w:rPr>
                <w:t>Pricing European Transport Systems.</w:t>
              </w:r>
              <w:r>
                <w:rPr>
                  <w:noProof/>
                </w:rPr>
                <w:t xml:space="preserve"> (n.d.).</w:t>
              </w:r>
            </w:p>
            <w:p w14:paraId="66712F20" w14:textId="77777777" w:rsidR="00CD564C" w:rsidRDefault="00CD564C" w:rsidP="00CD564C">
              <w:pPr>
                <w:pStyle w:val="Bibliography"/>
                <w:ind w:left="720" w:hanging="720"/>
                <w:rPr>
                  <w:noProof/>
                </w:rPr>
              </w:pPr>
              <w:r>
                <w:rPr>
                  <w:noProof/>
                </w:rPr>
                <w:t xml:space="preserve">World Bank. (2017). </w:t>
              </w:r>
              <w:r>
                <w:rPr>
                  <w:i/>
                  <w:iCs/>
                  <w:noProof/>
                </w:rPr>
                <w:t>GLOBAL MOBILITY REPORT .</w:t>
              </w:r>
              <w:r>
                <w:rPr>
                  <w:noProof/>
                </w:rPr>
                <w:t xml:space="preserve"> Washington: WORLD BANK.</w:t>
              </w:r>
            </w:p>
            <w:p w14:paraId="1F29D7A3" w14:textId="77777777" w:rsidR="00CD564C" w:rsidRDefault="00CD564C" w:rsidP="00CD564C">
              <w:pPr>
                <w:pStyle w:val="Bibliography"/>
                <w:ind w:left="720" w:hanging="720"/>
                <w:rPr>
                  <w:noProof/>
                </w:rPr>
              </w:pPr>
              <w:r>
                <w:rPr>
                  <w:noProof/>
                </w:rPr>
                <w:t xml:space="preserve">Европейска комисия. (2008). </w:t>
              </w:r>
              <w:r>
                <w:rPr>
                  <w:i/>
                  <w:iCs/>
                  <w:noProof/>
                </w:rPr>
                <w:t>Ръководство за анализ на инвестиционни проекти по разходи и ползи.</w:t>
              </w:r>
              <w:r>
                <w:rPr>
                  <w:noProof/>
                </w:rPr>
                <w:t xml:space="preserve"> Брюксел: Европейска комисия.</w:t>
              </w:r>
            </w:p>
            <w:p w14:paraId="060CB9AD" w14:textId="04322247" w:rsidR="00CD564C" w:rsidRDefault="00CD564C" w:rsidP="00CD564C">
              <w:r>
                <w:rPr>
                  <w:b/>
                  <w:bCs/>
                  <w:noProof/>
                </w:rPr>
                <w:fldChar w:fldCharType="end"/>
              </w:r>
            </w:p>
          </w:sdtContent>
        </w:sdt>
      </w:sdtContent>
    </w:sdt>
    <w:p w14:paraId="0D433279" w14:textId="0E39B619" w:rsidR="0080096D" w:rsidRPr="0080096D" w:rsidRDefault="0080096D" w:rsidP="0080096D">
      <w:pPr>
        <w:spacing w:line="240" w:lineRule="auto"/>
        <w:rPr>
          <w:lang w:val="bg-BG"/>
        </w:rPr>
      </w:pPr>
    </w:p>
    <w:sectPr w:rsidR="0080096D" w:rsidRPr="0080096D" w:rsidSect="009F5B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1F0E5" w14:textId="77777777" w:rsidR="007404C1" w:rsidRDefault="007404C1" w:rsidP="0080096D">
      <w:pPr>
        <w:spacing w:after="0" w:line="240" w:lineRule="auto"/>
      </w:pPr>
      <w:r>
        <w:separator/>
      </w:r>
    </w:p>
  </w:endnote>
  <w:endnote w:type="continuationSeparator" w:id="0">
    <w:p w14:paraId="20002829" w14:textId="77777777" w:rsidR="007404C1" w:rsidRDefault="007404C1" w:rsidP="00800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DF0DD" w14:textId="77777777" w:rsidR="007404C1" w:rsidRDefault="007404C1" w:rsidP="0080096D">
      <w:pPr>
        <w:spacing w:after="0" w:line="240" w:lineRule="auto"/>
      </w:pPr>
      <w:r>
        <w:separator/>
      </w:r>
    </w:p>
  </w:footnote>
  <w:footnote w:type="continuationSeparator" w:id="0">
    <w:p w14:paraId="36992C6E" w14:textId="77777777" w:rsidR="007404C1" w:rsidRDefault="007404C1" w:rsidP="008009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46907"/>
    <w:multiLevelType w:val="hybridMultilevel"/>
    <w:tmpl w:val="EBF6DD2C"/>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3E145771"/>
    <w:multiLevelType w:val="hybridMultilevel"/>
    <w:tmpl w:val="812A85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A63DC1"/>
    <w:multiLevelType w:val="hybridMultilevel"/>
    <w:tmpl w:val="87F6798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62604958"/>
    <w:multiLevelType w:val="hybridMultilevel"/>
    <w:tmpl w:val="0FE2CCA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6E26678A"/>
    <w:multiLevelType w:val="hybridMultilevel"/>
    <w:tmpl w:val="DC5E8CB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1253465039">
    <w:abstractNumId w:val="3"/>
  </w:num>
  <w:num w:numId="2" w16cid:durableId="1625425478">
    <w:abstractNumId w:val="2"/>
  </w:num>
  <w:num w:numId="3" w16cid:durableId="1559776786">
    <w:abstractNumId w:val="4"/>
  </w:num>
  <w:num w:numId="4" w16cid:durableId="1244754391">
    <w:abstractNumId w:val="1"/>
  </w:num>
  <w:num w:numId="5" w16cid:durableId="124011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52B"/>
    <w:rsid w:val="00175884"/>
    <w:rsid w:val="0066252B"/>
    <w:rsid w:val="006F4CF4"/>
    <w:rsid w:val="007404C1"/>
    <w:rsid w:val="00774CF3"/>
    <w:rsid w:val="0080096D"/>
    <w:rsid w:val="009F5BDA"/>
    <w:rsid w:val="00A81900"/>
    <w:rsid w:val="00B01F91"/>
    <w:rsid w:val="00CD564C"/>
    <w:rsid w:val="00F173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54E73"/>
  <w15:chartTrackingRefBased/>
  <w15:docId w15:val="{FAEAB9CF-D632-40DD-9684-4118CF1C4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564C"/>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SUTitle">
    <w:name w:val="VSU Title"/>
    <w:basedOn w:val="Normal"/>
    <w:rsid w:val="0080096D"/>
    <w:pPr>
      <w:spacing w:after="0" w:line="240" w:lineRule="auto"/>
      <w:ind w:left="567"/>
      <w:outlineLvl w:val="0"/>
    </w:pPr>
    <w:rPr>
      <w:rFonts w:ascii="Times New Roman" w:eastAsia="Times New Roman" w:hAnsi="Times New Roman" w:cs="Arial"/>
      <w:b/>
      <w:bCs/>
      <w:caps/>
      <w:kern w:val="28"/>
      <w:sz w:val="24"/>
      <w:szCs w:val="32"/>
      <w:lang w:val="bg-BG"/>
      <w14:ligatures w14:val="none"/>
    </w:rPr>
  </w:style>
  <w:style w:type="paragraph" w:customStyle="1" w:styleId="VSUAuthors">
    <w:name w:val="VSU Authors"/>
    <w:basedOn w:val="Normal"/>
    <w:autoRedefine/>
    <w:rsid w:val="0080096D"/>
    <w:pPr>
      <w:spacing w:after="0" w:line="240" w:lineRule="auto"/>
      <w:jc w:val="right"/>
    </w:pPr>
    <w:rPr>
      <w:rFonts w:ascii="Times New Roman" w:eastAsia="Times New Roman" w:hAnsi="Times New Roman" w:cs="Times New Roman"/>
      <w:b/>
      <w:kern w:val="0"/>
      <w:sz w:val="24"/>
      <w:szCs w:val="20"/>
      <w:lang w:val="bg-BG" w:eastAsia="de-DE"/>
      <w14:ligatures w14:val="none"/>
    </w:rPr>
  </w:style>
  <w:style w:type="paragraph" w:customStyle="1" w:styleId="VSUAddresses">
    <w:name w:val="VSU Addresses"/>
    <w:basedOn w:val="Normal"/>
    <w:rsid w:val="0080096D"/>
    <w:pPr>
      <w:autoSpaceDE w:val="0"/>
      <w:autoSpaceDN w:val="0"/>
      <w:adjustRightInd w:val="0"/>
      <w:spacing w:after="0" w:line="240" w:lineRule="auto"/>
    </w:pPr>
    <w:rPr>
      <w:rFonts w:ascii="Times New Roman" w:eastAsia="Times New Roman" w:hAnsi="Times New Roman" w:cs="Times New Roman"/>
      <w:kern w:val="0"/>
      <w:sz w:val="20"/>
      <w:szCs w:val="24"/>
      <w:lang w:val="bg-BG"/>
      <w14:ligatures w14:val="none"/>
    </w:rPr>
  </w:style>
  <w:style w:type="paragraph" w:customStyle="1" w:styleId="VSUMain">
    <w:name w:val="VSU Main"/>
    <w:basedOn w:val="Normal"/>
    <w:rsid w:val="0080096D"/>
    <w:pPr>
      <w:spacing w:after="0" w:line="240" w:lineRule="auto"/>
      <w:ind w:firstLine="567"/>
      <w:jc w:val="both"/>
    </w:pPr>
    <w:rPr>
      <w:rFonts w:ascii="Times New Roman" w:eastAsia="Times New Roman" w:hAnsi="Times New Roman" w:cs="Times New Roman"/>
      <w:kern w:val="0"/>
      <w:sz w:val="24"/>
      <w:szCs w:val="24"/>
      <w:lang w:val="bg-BG"/>
      <w14:ligatures w14:val="none"/>
    </w:rPr>
  </w:style>
  <w:style w:type="paragraph" w:customStyle="1" w:styleId="VSUInstitution">
    <w:name w:val="VSU Institution"/>
    <w:basedOn w:val="Normal"/>
    <w:qFormat/>
    <w:rsid w:val="0080096D"/>
    <w:pPr>
      <w:spacing w:after="0" w:line="240" w:lineRule="auto"/>
      <w:ind w:left="567"/>
    </w:pPr>
    <w:rPr>
      <w:rFonts w:ascii="Times New Roman" w:eastAsia="Times New Roman" w:hAnsi="Times New Roman" w:cs="Times New Roman"/>
      <w:i/>
      <w:color w:val="000000"/>
      <w:kern w:val="0"/>
      <w:sz w:val="24"/>
      <w:szCs w:val="24"/>
      <w:lang w:val="bg-BG"/>
      <w14:ligatures w14:val="none"/>
    </w:rPr>
  </w:style>
  <w:style w:type="character" w:styleId="FootnoteReference">
    <w:name w:val="footnote reference"/>
    <w:rsid w:val="0080096D"/>
    <w:rPr>
      <w:vertAlign w:val="superscript"/>
    </w:rPr>
  </w:style>
  <w:style w:type="paragraph" w:customStyle="1" w:styleId="VSUHeadings">
    <w:name w:val="VSU Headings"/>
    <w:basedOn w:val="Normal"/>
    <w:rsid w:val="0080096D"/>
    <w:pPr>
      <w:spacing w:after="0" w:line="240" w:lineRule="auto"/>
      <w:ind w:firstLine="567"/>
    </w:pPr>
    <w:rPr>
      <w:rFonts w:ascii="Times New Roman" w:eastAsia="Times New Roman" w:hAnsi="Times New Roman" w:cs="Courier New"/>
      <w:b/>
      <w:kern w:val="0"/>
      <w:sz w:val="24"/>
      <w:szCs w:val="20"/>
      <w:lang w:val="bg-BG"/>
      <w14:ligatures w14:val="none"/>
    </w:rPr>
  </w:style>
  <w:style w:type="paragraph" w:styleId="Caption">
    <w:name w:val="caption"/>
    <w:basedOn w:val="Normal"/>
    <w:next w:val="Normal"/>
    <w:uiPriority w:val="35"/>
    <w:unhideWhenUsed/>
    <w:qFormat/>
    <w:rsid w:val="0080096D"/>
    <w:pPr>
      <w:spacing w:after="200" w:line="240" w:lineRule="auto"/>
    </w:pPr>
    <w:rPr>
      <w:rFonts w:ascii="Times New Roman" w:eastAsia="Times New Roman" w:hAnsi="Times New Roman" w:cs="Times New Roman"/>
      <w:i/>
      <w:iCs/>
      <w:color w:val="44546A" w:themeColor="text2"/>
      <w:kern w:val="0"/>
      <w:sz w:val="18"/>
      <w:szCs w:val="18"/>
      <w:lang w:val="bg-BG"/>
      <w14:ligatures w14:val="none"/>
    </w:rPr>
  </w:style>
  <w:style w:type="character" w:customStyle="1" w:styleId="Heading1Char">
    <w:name w:val="Heading 1 Char"/>
    <w:basedOn w:val="DefaultParagraphFont"/>
    <w:link w:val="Heading1"/>
    <w:uiPriority w:val="9"/>
    <w:rsid w:val="00CD564C"/>
    <w:rPr>
      <w:rFonts w:asciiTheme="majorHAnsi" w:eastAsiaTheme="majorEastAsia" w:hAnsiTheme="majorHAnsi" w:cstheme="majorBidi"/>
      <w:color w:val="2F5496" w:themeColor="accent1" w:themeShade="BF"/>
      <w:kern w:val="0"/>
      <w:sz w:val="32"/>
      <w:szCs w:val="32"/>
      <w14:ligatures w14:val="none"/>
    </w:rPr>
  </w:style>
  <w:style w:type="paragraph" w:styleId="Bibliography">
    <w:name w:val="Bibliography"/>
    <w:basedOn w:val="Normal"/>
    <w:next w:val="Normal"/>
    <w:uiPriority w:val="37"/>
    <w:unhideWhenUsed/>
    <w:rsid w:val="00CD56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1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0A471C0-9AF0-440B-A42E-27855DA16997}" type="doc">
      <dgm:prSet loTypeId="urn:microsoft.com/office/officeart/2005/8/layout/hChevron3" loCatId="process" qsTypeId="urn:microsoft.com/office/officeart/2005/8/quickstyle/simple1" qsCatId="simple" csTypeId="urn:microsoft.com/office/officeart/2005/8/colors/accent3_2" csCatId="accent3" phldr="1"/>
      <dgm:spPr/>
      <dgm:t>
        <a:bodyPr/>
        <a:lstStyle/>
        <a:p>
          <a:endParaRPr lang="en-US"/>
        </a:p>
      </dgm:t>
    </dgm:pt>
    <dgm:pt modelId="{05819DC6-DA17-4E22-A846-8FA143AB9C4B}">
      <dgm:prSet phldrT="[Text]"/>
      <dgm:spPr/>
      <dgm:t>
        <a:bodyPr/>
        <a:lstStyle/>
        <a:p>
          <a:r>
            <a:rPr lang="bg-BG"/>
            <a:t>Усъвършенствана свързаност</a:t>
          </a:r>
        </a:p>
      </dgm:t>
    </dgm:pt>
    <dgm:pt modelId="{13F705C1-CEB4-4E73-8614-784D3F4CE76C}" type="parTrans" cxnId="{7C65D8BE-F886-4947-A7E4-214F781A3526}">
      <dgm:prSet/>
      <dgm:spPr/>
      <dgm:t>
        <a:bodyPr/>
        <a:lstStyle/>
        <a:p>
          <a:endParaRPr lang="en-US"/>
        </a:p>
      </dgm:t>
    </dgm:pt>
    <dgm:pt modelId="{243AD9B5-1E15-4B5C-8621-09D525D25270}" type="sibTrans" cxnId="{7C65D8BE-F886-4947-A7E4-214F781A3526}">
      <dgm:prSet/>
      <dgm:spPr/>
      <dgm:t>
        <a:bodyPr/>
        <a:lstStyle/>
        <a:p>
          <a:endParaRPr lang="en-US"/>
        </a:p>
      </dgm:t>
    </dgm:pt>
    <dgm:pt modelId="{C0ED7889-C23D-4FF5-833A-CD5EABDDA157}">
      <dgm:prSet phldrT="[Text]"/>
      <dgm:spPr/>
      <dgm:t>
        <a:bodyPr/>
        <a:lstStyle/>
        <a:p>
          <a:r>
            <a:rPr lang="bg-BG"/>
            <a:t>Увеличаване на търговията</a:t>
          </a:r>
        </a:p>
      </dgm:t>
    </dgm:pt>
    <dgm:pt modelId="{931CA8AA-CF15-4221-BCF6-6949299187DF}" type="parTrans" cxnId="{C00E48EB-0694-46A8-B484-6CD63873C6C6}">
      <dgm:prSet/>
      <dgm:spPr/>
      <dgm:t>
        <a:bodyPr/>
        <a:lstStyle/>
        <a:p>
          <a:endParaRPr lang="en-US"/>
        </a:p>
      </dgm:t>
    </dgm:pt>
    <dgm:pt modelId="{E19BA60A-757F-432B-B6D7-2DC9B7EAFEAA}" type="sibTrans" cxnId="{C00E48EB-0694-46A8-B484-6CD63873C6C6}">
      <dgm:prSet/>
      <dgm:spPr/>
      <dgm:t>
        <a:bodyPr/>
        <a:lstStyle/>
        <a:p>
          <a:endParaRPr lang="en-US"/>
        </a:p>
      </dgm:t>
    </dgm:pt>
    <dgm:pt modelId="{48D6DCC3-C548-40CC-A08B-41D1A380925A}">
      <dgm:prSet phldrT="[Text]"/>
      <dgm:spPr/>
      <dgm:t>
        <a:bodyPr/>
        <a:lstStyle/>
        <a:p>
          <a:r>
            <a:rPr lang="bg-BG"/>
            <a:t>Създаване на работни места</a:t>
          </a:r>
        </a:p>
      </dgm:t>
    </dgm:pt>
    <dgm:pt modelId="{55381742-9F1E-4F9C-8ACD-C73169498BCD}" type="parTrans" cxnId="{69B5B947-213A-4209-A30A-622E840B52E7}">
      <dgm:prSet/>
      <dgm:spPr/>
      <dgm:t>
        <a:bodyPr/>
        <a:lstStyle/>
        <a:p>
          <a:endParaRPr lang="en-US"/>
        </a:p>
      </dgm:t>
    </dgm:pt>
    <dgm:pt modelId="{FEA1745C-EAFF-4655-83EC-5B94F572DF72}" type="sibTrans" cxnId="{69B5B947-213A-4209-A30A-622E840B52E7}">
      <dgm:prSet/>
      <dgm:spPr/>
      <dgm:t>
        <a:bodyPr/>
        <a:lstStyle/>
        <a:p>
          <a:endParaRPr lang="en-US"/>
        </a:p>
      </dgm:t>
    </dgm:pt>
    <dgm:pt modelId="{69B66067-7ADE-4A8D-B2B3-0C3ADEFB1686}">
      <dgm:prSet phldrT="[Text]"/>
      <dgm:spPr/>
      <dgm:t>
        <a:bodyPr/>
        <a:lstStyle/>
        <a:p>
          <a:r>
            <a:rPr lang="bg-BG"/>
            <a:t>Регионално развитие</a:t>
          </a:r>
        </a:p>
      </dgm:t>
    </dgm:pt>
    <dgm:pt modelId="{C7BADBA2-6334-4C7B-B51A-AA7B43FBECB8}" type="parTrans" cxnId="{39AA89D8-E564-405C-8F04-5551E0FE9A54}">
      <dgm:prSet/>
      <dgm:spPr/>
      <dgm:t>
        <a:bodyPr/>
        <a:lstStyle/>
        <a:p>
          <a:endParaRPr lang="en-US"/>
        </a:p>
      </dgm:t>
    </dgm:pt>
    <dgm:pt modelId="{E81A44EF-89AF-40B0-97D5-9600BB170FEB}" type="sibTrans" cxnId="{39AA89D8-E564-405C-8F04-5551E0FE9A54}">
      <dgm:prSet/>
      <dgm:spPr/>
      <dgm:t>
        <a:bodyPr/>
        <a:lstStyle/>
        <a:p>
          <a:endParaRPr lang="en-US"/>
        </a:p>
      </dgm:t>
    </dgm:pt>
    <dgm:pt modelId="{5982F3CA-62BC-425F-A572-35AC5464DE54}" type="pres">
      <dgm:prSet presAssocID="{D0A471C0-9AF0-440B-A42E-27855DA16997}" presName="Name0" presStyleCnt="0">
        <dgm:presLayoutVars>
          <dgm:dir/>
          <dgm:resizeHandles val="exact"/>
        </dgm:presLayoutVars>
      </dgm:prSet>
      <dgm:spPr/>
    </dgm:pt>
    <dgm:pt modelId="{59C94D19-6303-4F5B-9338-F6E473FBE286}" type="pres">
      <dgm:prSet presAssocID="{05819DC6-DA17-4E22-A846-8FA143AB9C4B}" presName="parTxOnly" presStyleLbl="node1" presStyleIdx="0" presStyleCnt="4">
        <dgm:presLayoutVars>
          <dgm:bulletEnabled val="1"/>
        </dgm:presLayoutVars>
      </dgm:prSet>
      <dgm:spPr/>
    </dgm:pt>
    <dgm:pt modelId="{C3D3FDF6-CC1C-4670-ACD5-15B2637808FC}" type="pres">
      <dgm:prSet presAssocID="{243AD9B5-1E15-4B5C-8621-09D525D25270}" presName="parSpace" presStyleCnt="0"/>
      <dgm:spPr/>
    </dgm:pt>
    <dgm:pt modelId="{DD84DBDE-058D-4AE7-AB95-55A921C37967}" type="pres">
      <dgm:prSet presAssocID="{C0ED7889-C23D-4FF5-833A-CD5EABDDA157}" presName="parTxOnly" presStyleLbl="node1" presStyleIdx="1" presStyleCnt="4">
        <dgm:presLayoutVars>
          <dgm:bulletEnabled val="1"/>
        </dgm:presLayoutVars>
      </dgm:prSet>
      <dgm:spPr/>
    </dgm:pt>
    <dgm:pt modelId="{D0817C52-38B6-4FB8-B4F7-FE3589B98C41}" type="pres">
      <dgm:prSet presAssocID="{E19BA60A-757F-432B-B6D7-2DC9B7EAFEAA}" presName="parSpace" presStyleCnt="0"/>
      <dgm:spPr/>
    </dgm:pt>
    <dgm:pt modelId="{77E6038A-E5DD-4BD1-A2AB-FAEFA7D694F6}" type="pres">
      <dgm:prSet presAssocID="{48D6DCC3-C548-40CC-A08B-41D1A380925A}" presName="parTxOnly" presStyleLbl="node1" presStyleIdx="2" presStyleCnt="4">
        <dgm:presLayoutVars>
          <dgm:bulletEnabled val="1"/>
        </dgm:presLayoutVars>
      </dgm:prSet>
      <dgm:spPr/>
    </dgm:pt>
    <dgm:pt modelId="{58D28EC3-B36F-4AB0-9209-13AFE64C35DA}" type="pres">
      <dgm:prSet presAssocID="{FEA1745C-EAFF-4655-83EC-5B94F572DF72}" presName="parSpace" presStyleCnt="0"/>
      <dgm:spPr/>
    </dgm:pt>
    <dgm:pt modelId="{82821DA9-4C21-4DEF-BEA6-6823ECC90C4C}" type="pres">
      <dgm:prSet presAssocID="{69B66067-7ADE-4A8D-B2B3-0C3ADEFB1686}" presName="parTxOnly" presStyleLbl="node1" presStyleIdx="3" presStyleCnt="4">
        <dgm:presLayoutVars>
          <dgm:bulletEnabled val="1"/>
        </dgm:presLayoutVars>
      </dgm:prSet>
      <dgm:spPr/>
    </dgm:pt>
  </dgm:ptLst>
  <dgm:cxnLst>
    <dgm:cxn modelId="{AB3F9C15-BDC3-46EC-B5C6-B482ED7DE34B}" type="presOf" srcId="{69B66067-7ADE-4A8D-B2B3-0C3ADEFB1686}" destId="{82821DA9-4C21-4DEF-BEA6-6823ECC90C4C}" srcOrd="0" destOrd="0" presId="urn:microsoft.com/office/officeart/2005/8/layout/hChevron3"/>
    <dgm:cxn modelId="{7C6F101C-30EE-435B-A327-2007705F23E4}" type="presOf" srcId="{48D6DCC3-C548-40CC-A08B-41D1A380925A}" destId="{77E6038A-E5DD-4BD1-A2AB-FAEFA7D694F6}" srcOrd="0" destOrd="0" presId="urn:microsoft.com/office/officeart/2005/8/layout/hChevron3"/>
    <dgm:cxn modelId="{69B5B947-213A-4209-A30A-622E840B52E7}" srcId="{D0A471C0-9AF0-440B-A42E-27855DA16997}" destId="{48D6DCC3-C548-40CC-A08B-41D1A380925A}" srcOrd="2" destOrd="0" parTransId="{55381742-9F1E-4F9C-8ACD-C73169498BCD}" sibTransId="{FEA1745C-EAFF-4655-83EC-5B94F572DF72}"/>
    <dgm:cxn modelId="{06D20B96-CD30-4218-95EC-1C83F8F87585}" type="presOf" srcId="{C0ED7889-C23D-4FF5-833A-CD5EABDDA157}" destId="{DD84DBDE-058D-4AE7-AB95-55A921C37967}" srcOrd="0" destOrd="0" presId="urn:microsoft.com/office/officeart/2005/8/layout/hChevron3"/>
    <dgm:cxn modelId="{7C65D8BE-F886-4947-A7E4-214F781A3526}" srcId="{D0A471C0-9AF0-440B-A42E-27855DA16997}" destId="{05819DC6-DA17-4E22-A846-8FA143AB9C4B}" srcOrd="0" destOrd="0" parTransId="{13F705C1-CEB4-4E73-8614-784D3F4CE76C}" sibTransId="{243AD9B5-1E15-4B5C-8621-09D525D25270}"/>
    <dgm:cxn modelId="{6402C2C6-9523-4A2C-879C-D9E96B6C9F12}" type="presOf" srcId="{D0A471C0-9AF0-440B-A42E-27855DA16997}" destId="{5982F3CA-62BC-425F-A572-35AC5464DE54}" srcOrd="0" destOrd="0" presId="urn:microsoft.com/office/officeart/2005/8/layout/hChevron3"/>
    <dgm:cxn modelId="{39AA89D8-E564-405C-8F04-5551E0FE9A54}" srcId="{D0A471C0-9AF0-440B-A42E-27855DA16997}" destId="{69B66067-7ADE-4A8D-B2B3-0C3ADEFB1686}" srcOrd="3" destOrd="0" parTransId="{C7BADBA2-6334-4C7B-B51A-AA7B43FBECB8}" sibTransId="{E81A44EF-89AF-40B0-97D5-9600BB170FEB}"/>
    <dgm:cxn modelId="{11E1C6E1-28DF-47E0-B578-52FC8394ECE9}" type="presOf" srcId="{05819DC6-DA17-4E22-A846-8FA143AB9C4B}" destId="{59C94D19-6303-4F5B-9338-F6E473FBE286}" srcOrd="0" destOrd="0" presId="urn:microsoft.com/office/officeart/2005/8/layout/hChevron3"/>
    <dgm:cxn modelId="{C00E48EB-0694-46A8-B484-6CD63873C6C6}" srcId="{D0A471C0-9AF0-440B-A42E-27855DA16997}" destId="{C0ED7889-C23D-4FF5-833A-CD5EABDDA157}" srcOrd="1" destOrd="0" parTransId="{931CA8AA-CF15-4221-BCF6-6949299187DF}" sibTransId="{E19BA60A-757F-432B-B6D7-2DC9B7EAFEAA}"/>
    <dgm:cxn modelId="{F6E9C715-791F-44FE-AEED-FE7AAD4348A1}" type="presParOf" srcId="{5982F3CA-62BC-425F-A572-35AC5464DE54}" destId="{59C94D19-6303-4F5B-9338-F6E473FBE286}" srcOrd="0" destOrd="0" presId="urn:microsoft.com/office/officeart/2005/8/layout/hChevron3"/>
    <dgm:cxn modelId="{C236B515-775C-456E-9AC1-1EF8F164FA1E}" type="presParOf" srcId="{5982F3CA-62BC-425F-A572-35AC5464DE54}" destId="{C3D3FDF6-CC1C-4670-ACD5-15B2637808FC}" srcOrd="1" destOrd="0" presId="urn:microsoft.com/office/officeart/2005/8/layout/hChevron3"/>
    <dgm:cxn modelId="{FE7DD616-9C35-4248-92A7-A5A2CBE90F29}" type="presParOf" srcId="{5982F3CA-62BC-425F-A572-35AC5464DE54}" destId="{DD84DBDE-058D-4AE7-AB95-55A921C37967}" srcOrd="2" destOrd="0" presId="urn:microsoft.com/office/officeart/2005/8/layout/hChevron3"/>
    <dgm:cxn modelId="{F121ED37-1959-4AD7-91FF-4A8796BA06CF}" type="presParOf" srcId="{5982F3CA-62BC-425F-A572-35AC5464DE54}" destId="{D0817C52-38B6-4FB8-B4F7-FE3589B98C41}" srcOrd="3" destOrd="0" presId="urn:microsoft.com/office/officeart/2005/8/layout/hChevron3"/>
    <dgm:cxn modelId="{566B7886-78DD-4359-B363-FA072E8EB7D6}" type="presParOf" srcId="{5982F3CA-62BC-425F-A572-35AC5464DE54}" destId="{77E6038A-E5DD-4BD1-A2AB-FAEFA7D694F6}" srcOrd="4" destOrd="0" presId="urn:microsoft.com/office/officeart/2005/8/layout/hChevron3"/>
    <dgm:cxn modelId="{2F8B20C6-2E02-45E6-A51D-B17235167C87}" type="presParOf" srcId="{5982F3CA-62BC-425F-A572-35AC5464DE54}" destId="{58D28EC3-B36F-4AB0-9209-13AFE64C35DA}" srcOrd="5" destOrd="0" presId="urn:microsoft.com/office/officeart/2005/8/layout/hChevron3"/>
    <dgm:cxn modelId="{5A605FF3-8192-4F53-A8C3-CEB0B361DFCD}" type="presParOf" srcId="{5982F3CA-62BC-425F-A572-35AC5464DE54}" destId="{82821DA9-4C21-4DEF-BEA6-6823ECC90C4C}" srcOrd="6" destOrd="0" presId="urn:microsoft.com/office/officeart/2005/8/layout/hChevron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B599BF7-2849-4308-B6CF-07C5CC657A17}" type="doc">
      <dgm:prSet loTypeId="urn:microsoft.com/office/officeart/2005/8/layout/cycle4" loCatId="matrix" qsTypeId="urn:microsoft.com/office/officeart/2005/8/quickstyle/simple5" qsCatId="simple" csTypeId="urn:microsoft.com/office/officeart/2005/8/colors/accent0_2" csCatId="mainScheme" phldr="1"/>
      <dgm:spPr/>
      <dgm:t>
        <a:bodyPr/>
        <a:lstStyle/>
        <a:p>
          <a:endParaRPr lang="en-US"/>
        </a:p>
      </dgm:t>
    </dgm:pt>
    <dgm:pt modelId="{D10E83F3-A503-42C0-AA21-DD786FEBCB69}">
      <dgm:prSet phldrT="[Text]"/>
      <dgm:spPr/>
      <dgm:t>
        <a:bodyPr/>
        <a:lstStyle/>
        <a:p>
          <a:r>
            <a:rPr lang="bg-BG"/>
            <a:t>Достъп до пазари</a:t>
          </a:r>
        </a:p>
      </dgm:t>
    </dgm:pt>
    <dgm:pt modelId="{6AC9A6DC-4C3E-44D9-BD73-7EEE462DD153}" type="parTrans" cxnId="{E5E3517B-0F77-4527-A206-22E450C95637}">
      <dgm:prSet/>
      <dgm:spPr/>
      <dgm:t>
        <a:bodyPr/>
        <a:lstStyle/>
        <a:p>
          <a:endParaRPr lang="en-US"/>
        </a:p>
      </dgm:t>
    </dgm:pt>
    <dgm:pt modelId="{33FB8A76-96E2-4DAD-9E8E-9A750BD70304}" type="sibTrans" cxnId="{E5E3517B-0F77-4527-A206-22E450C95637}">
      <dgm:prSet/>
      <dgm:spPr/>
      <dgm:t>
        <a:bodyPr/>
        <a:lstStyle/>
        <a:p>
          <a:endParaRPr lang="en-US"/>
        </a:p>
      </dgm:t>
    </dgm:pt>
    <dgm:pt modelId="{DE52589D-9EA0-4386-8FBF-AD82FD55B1CF}">
      <dgm:prSet phldrT="[Text]"/>
      <dgm:spPr/>
      <dgm:t>
        <a:bodyPr/>
        <a:lstStyle/>
        <a:p>
          <a:r>
            <a:rPr lang="bg-BG"/>
            <a:t>Индустриални клъстери</a:t>
          </a:r>
        </a:p>
      </dgm:t>
    </dgm:pt>
    <dgm:pt modelId="{6CBC2F4C-C49B-42D3-AAD0-B5674143A88D}" type="parTrans" cxnId="{33E89B08-02EF-4FA6-ADEB-B9D626C750BD}">
      <dgm:prSet/>
      <dgm:spPr/>
      <dgm:t>
        <a:bodyPr/>
        <a:lstStyle/>
        <a:p>
          <a:endParaRPr lang="en-US"/>
        </a:p>
      </dgm:t>
    </dgm:pt>
    <dgm:pt modelId="{F651435D-977C-4BD9-916A-E0309C0C477D}" type="sibTrans" cxnId="{33E89B08-02EF-4FA6-ADEB-B9D626C750BD}">
      <dgm:prSet/>
      <dgm:spPr/>
      <dgm:t>
        <a:bodyPr/>
        <a:lstStyle/>
        <a:p>
          <a:endParaRPr lang="en-US"/>
        </a:p>
      </dgm:t>
    </dgm:pt>
    <dgm:pt modelId="{75EC1582-5BCE-4E5E-A7EC-703A14301B63}">
      <dgm:prSet phldrT="[Text]"/>
      <dgm:spPr/>
      <dgm:t>
        <a:bodyPr/>
        <a:lstStyle/>
        <a:p>
          <a:r>
            <a:rPr lang="bg-BG"/>
            <a:t>Икономически коридори</a:t>
          </a:r>
        </a:p>
      </dgm:t>
    </dgm:pt>
    <dgm:pt modelId="{FDB93D20-0139-4E1E-8631-2D3F6D2BF880}" type="parTrans" cxnId="{C6101497-C162-4B9E-8769-CE0F92729A10}">
      <dgm:prSet/>
      <dgm:spPr/>
      <dgm:t>
        <a:bodyPr/>
        <a:lstStyle/>
        <a:p>
          <a:endParaRPr lang="en-US"/>
        </a:p>
      </dgm:t>
    </dgm:pt>
    <dgm:pt modelId="{F04AAB20-023C-4306-B6B4-C7ADF054A9F0}" type="sibTrans" cxnId="{C6101497-C162-4B9E-8769-CE0F92729A10}">
      <dgm:prSet/>
      <dgm:spPr/>
      <dgm:t>
        <a:bodyPr/>
        <a:lstStyle/>
        <a:p>
          <a:endParaRPr lang="en-US"/>
        </a:p>
      </dgm:t>
    </dgm:pt>
    <dgm:pt modelId="{99AD282F-5CD8-44C2-9BB3-C04820EFB4B0}">
      <dgm:prSet phldrT="[Text]"/>
      <dgm:spPr/>
      <dgm:t>
        <a:bodyPr/>
        <a:lstStyle/>
        <a:p>
          <a:r>
            <a:rPr lang="bg-BG"/>
            <a:t>Ефективност на логистиката</a:t>
          </a:r>
        </a:p>
      </dgm:t>
    </dgm:pt>
    <dgm:pt modelId="{00A44FC0-9D82-4DB3-AC0E-45747B970FE5}" type="parTrans" cxnId="{54AE6EB9-A459-47D6-94C2-1B004FFA9D65}">
      <dgm:prSet/>
      <dgm:spPr/>
      <dgm:t>
        <a:bodyPr/>
        <a:lstStyle/>
        <a:p>
          <a:endParaRPr lang="en-US"/>
        </a:p>
      </dgm:t>
    </dgm:pt>
    <dgm:pt modelId="{BB37FE12-DAB0-417D-89C3-B420CAE2A34A}" type="sibTrans" cxnId="{54AE6EB9-A459-47D6-94C2-1B004FFA9D65}">
      <dgm:prSet/>
      <dgm:spPr/>
      <dgm:t>
        <a:bodyPr/>
        <a:lstStyle/>
        <a:p>
          <a:endParaRPr lang="en-US"/>
        </a:p>
      </dgm:t>
    </dgm:pt>
    <dgm:pt modelId="{A0C2B514-82E4-4602-95AC-6C76E0B19B5C}" type="pres">
      <dgm:prSet presAssocID="{5B599BF7-2849-4308-B6CF-07C5CC657A17}" presName="cycleMatrixDiagram" presStyleCnt="0">
        <dgm:presLayoutVars>
          <dgm:chMax val="1"/>
          <dgm:dir/>
          <dgm:animLvl val="lvl"/>
          <dgm:resizeHandles val="exact"/>
        </dgm:presLayoutVars>
      </dgm:prSet>
      <dgm:spPr/>
    </dgm:pt>
    <dgm:pt modelId="{E1457652-36DD-4F13-9871-BFB616564CDD}" type="pres">
      <dgm:prSet presAssocID="{5B599BF7-2849-4308-B6CF-07C5CC657A17}" presName="children" presStyleCnt="0"/>
      <dgm:spPr/>
    </dgm:pt>
    <dgm:pt modelId="{A04CC6BD-2460-4FB3-B2FE-2CBB848070DA}" type="pres">
      <dgm:prSet presAssocID="{5B599BF7-2849-4308-B6CF-07C5CC657A17}" presName="childPlaceholder" presStyleCnt="0"/>
      <dgm:spPr/>
    </dgm:pt>
    <dgm:pt modelId="{0A6AD3D2-4EAF-4017-B5A0-66EE9934E13B}" type="pres">
      <dgm:prSet presAssocID="{5B599BF7-2849-4308-B6CF-07C5CC657A17}" presName="circle" presStyleCnt="0"/>
      <dgm:spPr/>
    </dgm:pt>
    <dgm:pt modelId="{E24983AA-0392-482C-BE66-5FC20C0735E8}" type="pres">
      <dgm:prSet presAssocID="{5B599BF7-2849-4308-B6CF-07C5CC657A17}" presName="quadrant1" presStyleLbl="node1" presStyleIdx="0" presStyleCnt="4">
        <dgm:presLayoutVars>
          <dgm:chMax val="1"/>
          <dgm:bulletEnabled val="1"/>
        </dgm:presLayoutVars>
      </dgm:prSet>
      <dgm:spPr/>
    </dgm:pt>
    <dgm:pt modelId="{A5D5C3CE-4B83-4FEC-809F-E9E0DCB055FA}" type="pres">
      <dgm:prSet presAssocID="{5B599BF7-2849-4308-B6CF-07C5CC657A17}" presName="quadrant2" presStyleLbl="node1" presStyleIdx="1" presStyleCnt="4">
        <dgm:presLayoutVars>
          <dgm:chMax val="1"/>
          <dgm:bulletEnabled val="1"/>
        </dgm:presLayoutVars>
      </dgm:prSet>
      <dgm:spPr/>
    </dgm:pt>
    <dgm:pt modelId="{F193C233-C839-4EA8-BFF0-4DCB3C64BFAC}" type="pres">
      <dgm:prSet presAssocID="{5B599BF7-2849-4308-B6CF-07C5CC657A17}" presName="quadrant3" presStyleLbl="node1" presStyleIdx="2" presStyleCnt="4">
        <dgm:presLayoutVars>
          <dgm:chMax val="1"/>
          <dgm:bulletEnabled val="1"/>
        </dgm:presLayoutVars>
      </dgm:prSet>
      <dgm:spPr/>
    </dgm:pt>
    <dgm:pt modelId="{BE68F87D-8F97-47E8-809C-5576FFFA7C5B}" type="pres">
      <dgm:prSet presAssocID="{5B599BF7-2849-4308-B6CF-07C5CC657A17}" presName="quadrant4" presStyleLbl="node1" presStyleIdx="3" presStyleCnt="4">
        <dgm:presLayoutVars>
          <dgm:chMax val="1"/>
          <dgm:bulletEnabled val="1"/>
        </dgm:presLayoutVars>
      </dgm:prSet>
      <dgm:spPr/>
    </dgm:pt>
    <dgm:pt modelId="{F8C14D89-0979-4C66-B89F-F40466E65A0A}" type="pres">
      <dgm:prSet presAssocID="{5B599BF7-2849-4308-B6CF-07C5CC657A17}" presName="quadrantPlaceholder" presStyleCnt="0"/>
      <dgm:spPr/>
    </dgm:pt>
    <dgm:pt modelId="{BF2CDBAE-2597-4303-921B-01A65047D78A}" type="pres">
      <dgm:prSet presAssocID="{5B599BF7-2849-4308-B6CF-07C5CC657A17}" presName="center1" presStyleLbl="fgShp" presStyleIdx="0" presStyleCnt="2"/>
      <dgm:spPr/>
    </dgm:pt>
    <dgm:pt modelId="{F13CBBF6-D773-4EA5-968F-338A800D8296}" type="pres">
      <dgm:prSet presAssocID="{5B599BF7-2849-4308-B6CF-07C5CC657A17}" presName="center2" presStyleLbl="fgShp" presStyleIdx="1" presStyleCnt="2"/>
      <dgm:spPr/>
    </dgm:pt>
  </dgm:ptLst>
  <dgm:cxnLst>
    <dgm:cxn modelId="{33E89B08-02EF-4FA6-ADEB-B9D626C750BD}" srcId="{5B599BF7-2849-4308-B6CF-07C5CC657A17}" destId="{DE52589D-9EA0-4386-8FBF-AD82FD55B1CF}" srcOrd="2" destOrd="0" parTransId="{6CBC2F4C-C49B-42D3-AAD0-B5674143A88D}" sibTransId="{F651435D-977C-4BD9-916A-E0309C0C477D}"/>
    <dgm:cxn modelId="{F36BD625-B980-4EDF-8354-F97B7BAD51C4}" type="presOf" srcId="{DE52589D-9EA0-4386-8FBF-AD82FD55B1CF}" destId="{F193C233-C839-4EA8-BFF0-4DCB3C64BFAC}" srcOrd="0" destOrd="0" presId="urn:microsoft.com/office/officeart/2005/8/layout/cycle4"/>
    <dgm:cxn modelId="{C1670636-884C-424A-B8DF-6C240597A246}" type="presOf" srcId="{75EC1582-5BCE-4E5E-A7EC-703A14301B63}" destId="{BE68F87D-8F97-47E8-809C-5576FFFA7C5B}" srcOrd="0" destOrd="0" presId="urn:microsoft.com/office/officeart/2005/8/layout/cycle4"/>
    <dgm:cxn modelId="{D117533A-4A49-473B-A567-4BB59153CBD0}" type="presOf" srcId="{5B599BF7-2849-4308-B6CF-07C5CC657A17}" destId="{A0C2B514-82E4-4602-95AC-6C76E0B19B5C}" srcOrd="0" destOrd="0" presId="urn:microsoft.com/office/officeart/2005/8/layout/cycle4"/>
    <dgm:cxn modelId="{E5E3517B-0F77-4527-A206-22E450C95637}" srcId="{5B599BF7-2849-4308-B6CF-07C5CC657A17}" destId="{D10E83F3-A503-42C0-AA21-DD786FEBCB69}" srcOrd="0" destOrd="0" parTransId="{6AC9A6DC-4C3E-44D9-BD73-7EEE462DD153}" sibTransId="{33FB8A76-96E2-4DAD-9E8E-9A750BD70304}"/>
    <dgm:cxn modelId="{2175E690-27FB-44CE-A8C4-0ACAA396CC94}" type="presOf" srcId="{99AD282F-5CD8-44C2-9BB3-C04820EFB4B0}" destId="{A5D5C3CE-4B83-4FEC-809F-E9E0DCB055FA}" srcOrd="0" destOrd="0" presId="urn:microsoft.com/office/officeart/2005/8/layout/cycle4"/>
    <dgm:cxn modelId="{C6101497-C162-4B9E-8769-CE0F92729A10}" srcId="{5B599BF7-2849-4308-B6CF-07C5CC657A17}" destId="{75EC1582-5BCE-4E5E-A7EC-703A14301B63}" srcOrd="3" destOrd="0" parTransId="{FDB93D20-0139-4E1E-8631-2D3F6D2BF880}" sibTransId="{F04AAB20-023C-4306-B6B4-C7ADF054A9F0}"/>
    <dgm:cxn modelId="{3D2E039B-B608-469B-8754-8C866CE37FE8}" type="presOf" srcId="{D10E83F3-A503-42C0-AA21-DD786FEBCB69}" destId="{E24983AA-0392-482C-BE66-5FC20C0735E8}" srcOrd="0" destOrd="0" presId="urn:microsoft.com/office/officeart/2005/8/layout/cycle4"/>
    <dgm:cxn modelId="{54AE6EB9-A459-47D6-94C2-1B004FFA9D65}" srcId="{5B599BF7-2849-4308-B6CF-07C5CC657A17}" destId="{99AD282F-5CD8-44C2-9BB3-C04820EFB4B0}" srcOrd="1" destOrd="0" parTransId="{00A44FC0-9D82-4DB3-AC0E-45747B970FE5}" sibTransId="{BB37FE12-DAB0-417D-89C3-B420CAE2A34A}"/>
    <dgm:cxn modelId="{D81D5101-51ED-4DE0-91EE-168C1E5B3B62}" type="presParOf" srcId="{A0C2B514-82E4-4602-95AC-6C76E0B19B5C}" destId="{E1457652-36DD-4F13-9871-BFB616564CDD}" srcOrd="0" destOrd="0" presId="urn:microsoft.com/office/officeart/2005/8/layout/cycle4"/>
    <dgm:cxn modelId="{B5EA0270-E3F3-43B6-89F9-AEC8EA736B5A}" type="presParOf" srcId="{E1457652-36DD-4F13-9871-BFB616564CDD}" destId="{A04CC6BD-2460-4FB3-B2FE-2CBB848070DA}" srcOrd="0" destOrd="0" presId="urn:microsoft.com/office/officeart/2005/8/layout/cycle4"/>
    <dgm:cxn modelId="{584CE8EC-F858-4B0D-AAAE-83CDF7601ABC}" type="presParOf" srcId="{A0C2B514-82E4-4602-95AC-6C76E0B19B5C}" destId="{0A6AD3D2-4EAF-4017-B5A0-66EE9934E13B}" srcOrd="1" destOrd="0" presId="urn:microsoft.com/office/officeart/2005/8/layout/cycle4"/>
    <dgm:cxn modelId="{7D43CFAA-2109-4BF8-9FE7-F83CE137C4DC}" type="presParOf" srcId="{0A6AD3D2-4EAF-4017-B5A0-66EE9934E13B}" destId="{E24983AA-0392-482C-BE66-5FC20C0735E8}" srcOrd="0" destOrd="0" presId="urn:microsoft.com/office/officeart/2005/8/layout/cycle4"/>
    <dgm:cxn modelId="{CAEB14FD-86FE-46EA-A885-CBFB44A431C8}" type="presParOf" srcId="{0A6AD3D2-4EAF-4017-B5A0-66EE9934E13B}" destId="{A5D5C3CE-4B83-4FEC-809F-E9E0DCB055FA}" srcOrd="1" destOrd="0" presId="urn:microsoft.com/office/officeart/2005/8/layout/cycle4"/>
    <dgm:cxn modelId="{8D11CDE0-A979-4290-B3C6-64E4798A0D76}" type="presParOf" srcId="{0A6AD3D2-4EAF-4017-B5A0-66EE9934E13B}" destId="{F193C233-C839-4EA8-BFF0-4DCB3C64BFAC}" srcOrd="2" destOrd="0" presId="urn:microsoft.com/office/officeart/2005/8/layout/cycle4"/>
    <dgm:cxn modelId="{7ABBF708-7AD3-4663-BF30-47467C9DF34A}" type="presParOf" srcId="{0A6AD3D2-4EAF-4017-B5A0-66EE9934E13B}" destId="{BE68F87D-8F97-47E8-809C-5576FFFA7C5B}" srcOrd="3" destOrd="0" presId="urn:microsoft.com/office/officeart/2005/8/layout/cycle4"/>
    <dgm:cxn modelId="{537D92F2-92B2-4701-8536-D5C369E28061}" type="presParOf" srcId="{0A6AD3D2-4EAF-4017-B5A0-66EE9934E13B}" destId="{F8C14D89-0979-4C66-B89F-F40466E65A0A}" srcOrd="4" destOrd="0" presId="urn:microsoft.com/office/officeart/2005/8/layout/cycle4"/>
    <dgm:cxn modelId="{D44449B3-549C-40DB-8625-17F25CFC08E9}" type="presParOf" srcId="{A0C2B514-82E4-4602-95AC-6C76E0B19B5C}" destId="{BF2CDBAE-2597-4303-921B-01A65047D78A}" srcOrd="2" destOrd="0" presId="urn:microsoft.com/office/officeart/2005/8/layout/cycle4"/>
    <dgm:cxn modelId="{77B753E9-87D4-404E-9857-22D059E4DC1E}" type="presParOf" srcId="{A0C2B514-82E4-4602-95AC-6C76E0B19B5C}" destId="{F13CBBF6-D773-4EA5-968F-338A800D8296}" srcOrd="3" destOrd="0" presId="urn:microsoft.com/office/officeart/2005/8/layout/cycle4"/>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9C94D19-6303-4F5B-9338-F6E473FBE286}">
      <dsp:nvSpPr>
        <dsp:cNvPr id="0" name=""/>
        <dsp:cNvSpPr/>
      </dsp:nvSpPr>
      <dsp:spPr>
        <a:xfrm>
          <a:off x="1393" y="447465"/>
          <a:ext cx="1398047" cy="559219"/>
        </a:xfrm>
        <a:prstGeom prst="homePlate">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8674" tIns="29337" rIns="14669" bIns="29337" numCol="1" spcCol="1270" anchor="ctr" anchorCtr="0">
          <a:noAutofit/>
        </a:bodyPr>
        <a:lstStyle/>
        <a:p>
          <a:pPr marL="0" lvl="0" indent="0" algn="ctr" defTabSz="488950">
            <a:lnSpc>
              <a:spcPct val="90000"/>
            </a:lnSpc>
            <a:spcBef>
              <a:spcPct val="0"/>
            </a:spcBef>
            <a:spcAft>
              <a:spcPct val="35000"/>
            </a:spcAft>
            <a:buNone/>
          </a:pPr>
          <a:r>
            <a:rPr lang="bg-BG" sz="1100" kern="1200"/>
            <a:t>Усъвършенствана свързаност</a:t>
          </a:r>
        </a:p>
      </dsp:txBody>
      <dsp:txXfrm>
        <a:off x="1393" y="447465"/>
        <a:ext cx="1258242" cy="559219"/>
      </dsp:txXfrm>
    </dsp:sp>
    <dsp:sp modelId="{DD84DBDE-058D-4AE7-AB95-55A921C37967}">
      <dsp:nvSpPr>
        <dsp:cNvPr id="0" name=""/>
        <dsp:cNvSpPr/>
      </dsp:nvSpPr>
      <dsp:spPr>
        <a:xfrm>
          <a:off x="1119831" y="447465"/>
          <a:ext cx="1398047" cy="559219"/>
        </a:xfrm>
        <a:prstGeom prst="chevron">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29337" rIns="14669" bIns="29337" numCol="1" spcCol="1270" anchor="ctr" anchorCtr="0">
          <a:noAutofit/>
        </a:bodyPr>
        <a:lstStyle/>
        <a:p>
          <a:pPr marL="0" lvl="0" indent="0" algn="ctr" defTabSz="488950">
            <a:lnSpc>
              <a:spcPct val="90000"/>
            </a:lnSpc>
            <a:spcBef>
              <a:spcPct val="0"/>
            </a:spcBef>
            <a:spcAft>
              <a:spcPct val="35000"/>
            </a:spcAft>
            <a:buNone/>
          </a:pPr>
          <a:r>
            <a:rPr lang="bg-BG" sz="1100" kern="1200"/>
            <a:t>Увеличаване на търговията</a:t>
          </a:r>
        </a:p>
      </dsp:txBody>
      <dsp:txXfrm>
        <a:off x="1399441" y="447465"/>
        <a:ext cx="838828" cy="559219"/>
      </dsp:txXfrm>
    </dsp:sp>
    <dsp:sp modelId="{77E6038A-E5DD-4BD1-A2AB-FAEFA7D694F6}">
      <dsp:nvSpPr>
        <dsp:cNvPr id="0" name=""/>
        <dsp:cNvSpPr/>
      </dsp:nvSpPr>
      <dsp:spPr>
        <a:xfrm>
          <a:off x="2238270" y="447465"/>
          <a:ext cx="1398047" cy="559219"/>
        </a:xfrm>
        <a:prstGeom prst="chevron">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29337" rIns="14669" bIns="29337" numCol="1" spcCol="1270" anchor="ctr" anchorCtr="0">
          <a:noAutofit/>
        </a:bodyPr>
        <a:lstStyle/>
        <a:p>
          <a:pPr marL="0" lvl="0" indent="0" algn="ctr" defTabSz="488950">
            <a:lnSpc>
              <a:spcPct val="90000"/>
            </a:lnSpc>
            <a:spcBef>
              <a:spcPct val="0"/>
            </a:spcBef>
            <a:spcAft>
              <a:spcPct val="35000"/>
            </a:spcAft>
            <a:buNone/>
          </a:pPr>
          <a:r>
            <a:rPr lang="bg-BG" sz="1100" kern="1200"/>
            <a:t>Създаване на работни места</a:t>
          </a:r>
        </a:p>
      </dsp:txBody>
      <dsp:txXfrm>
        <a:off x="2517880" y="447465"/>
        <a:ext cx="838828" cy="559219"/>
      </dsp:txXfrm>
    </dsp:sp>
    <dsp:sp modelId="{82821DA9-4C21-4DEF-BEA6-6823ECC90C4C}">
      <dsp:nvSpPr>
        <dsp:cNvPr id="0" name=""/>
        <dsp:cNvSpPr/>
      </dsp:nvSpPr>
      <dsp:spPr>
        <a:xfrm>
          <a:off x="3356708" y="447465"/>
          <a:ext cx="1398047" cy="559219"/>
        </a:xfrm>
        <a:prstGeom prst="chevron">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29337" rIns="14669" bIns="29337" numCol="1" spcCol="1270" anchor="ctr" anchorCtr="0">
          <a:noAutofit/>
        </a:bodyPr>
        <a:lstStyle/>
        <a:p>
          <a:pPr marL="0" lvl="0" indent="0" algn="ctr" defTabSz="488950">
            <a:lnSpc>
              <a:spcPct val="90000"/>
            </a:lnSpc>
            <a:spcBef>
              <a:spcPct val="0"/>
            </a:spcBef>
            <a:spcAft>
              <a:spcPct val="35000"/>
            </a:spcAft>
            <a:buNone/>
          </a:pPr>
          <a:r>
            <a:rPr lang="bg-BG" sz="1100" kern="1200"/>
            <a:t>Регионално развитие</a:t>
          </a:r>
        </a:p>
      </dsp:txBody>
      <dsp:txXfrm>
        <a:off x="3636318" y="447465"/>
        <a:ext cx="838828" cy="55921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24983AA-0392-482C-BE66-5FC20C0735E8}">
      <dsp:nvSpPr>
        <dsp:cNvPr id="0" name=""/>
        <dsp:cNvSpPr/>
      </dsp:nvSpPr>
      <dsp:spPr>
        <a:xfrm>
          <a:off x="1791366" y="95916"/>
          <a:ext cx="728630" cy="728630"/>
        </a:xfrm>
        <a:prstGeom prst="pieWedge">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5560" tIns="35560" rIns="35560" bIns="35560" numCol="1" spcCol="1270" anchor="ctr" anchorCtr="0">
          <a:noAutofit/>
        </a:bodyPr>
        <a:lstStyle/>
        <a:p>
          <a:pPr marL="0" lvl="0" indent="0" algn="ctr" defTabSz="222250">
            <a:lnSpc>
              <a:spcPct val="90000"/>
            </a:lnSpc>
            <a:spcBef>
              <a:spcPct val="0"/>
            </a:spcBef>
            <a:spcAft>
              <a:spcPct val="35000"/>
            </a:spcAft>
            <a:buNone/>
          </a:pPr>
          <a:r>
            <a:rPr lang="bg-BG" sz="500" kern="1200"/>
            <a:t>Достъп до пазари</a:t>
          </a:r>
        </a:p>
      </dsp:txBody>
      <dsp:txXfrm>
        <a:off x="2004777" y="309327"/>
        <a:ext cx="515219" cy="515219"/>
      </dsp:txXfrm>
    </dsp:sp>
    <dsp:sp modelId="{A5D5C3CE-4B83-4FEC-809F-E9E0DCB055FA}">
      <dsp:nvSpPr>
        <dsp:cNvPr id="0" name=""/>
        <dsp:cNvSpPr/>
      </dsp:nvSpPr>
      <dsp:spPr>
        <a:xfrm rot="5400000">
          <a:off x="2553652" y="95916"/>
          <a:ext cx="728630" cy="728630"/>
        </a:xfrm>
        <a:prstGeom prst="pieWedge">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5560" tIns="35560" rIns="35560" bIns="35560" numCol="1" spcCol="1270" anchor="ctr" anchorCtr="0">
          <a:noAutofit/>
        </a:bodyPr>
        <a:lstStyle/>
        <a:p>
          <a:pPr marL="0" lvl="0" indent="0" algn="ctr" defTabSz="222250">
            <a:lnSpc>
              <a:spcPct val="90000"/>
            </a:lnSpc>
            <a:spcBef>
              <a:spcPct val="0"/>
            </a:spcBef>
            <a:spcAft>
              <a:spcPct val="35000"/>
            </a:spcAft>
            <a:buNone/>
          </a:pPr>
          <a:r>
            <a:rPr lang="bg-BG" sz="500" kern="1200"/>
            <a:t>Ефективност на логистиката</a:t>
          </a:r>
        </a:p>
      </dsp:txBody>
      <dsp:txXfrm rot="-5400000">
        <a:off x="2553652" y="309327"/>
        <a:ext cx="515219" cy="515219"/>
      </dsp:txXfrm>
    </dsp:sp>
    <dsp:sp modelId="{F193C233-C839-4EA8-BFF0-4DCB3C64BFAC}">
      <dsp:nvSpPr>
        <dsp:cNvPr id="0" name=""/>
        <dsp:cNvSpPr/>
      </dsp:nvSpPr>
      <dsp:spPr>
        <a:xfrm rot="10800000">
          <a:off x="2553652" y="858202"/>
          <a:ext cx="728630" cy="728630"/>
        </a:xfrm>
        <a:prstGeom prst="pieWedge">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5560" tIns="35560" rIns="35560" bIns="35560" numCol="1" spcCol="1270" anchor="ctr" anchorCtr="0">
          <a:noAutofit/>
        </a:bodyPr>
        <a:lstStyle/>
        <a:p>
          <a:pPr marL="0" lvl="0" indent="0" algn="ctr" defTabSz="222250">
            <a:lnSpc>
              <a:spcPct val="90000"/>
            </a:lnSpc>
            <a:spcBef>
              <a:spcPct val="0"/>
            </a:spcBef>
            <a:spcAft>
              <a:spcPct val="35000"/>
            </a:spcAft>
            <a:buNone/>
          </a:pPr>
          <a:r>
            <a:rPr lang="bg-BG" sz="500" kern="1200"/>
            <a:t>Индустриални клъстери</a:t>
          </a:r>
        </a:p>
      </dsp:txBody>
      <dsp:txXfrm rot="10800000">
        <a:off x="2553652" y="858202"/>
        <a:ext cx="515219" cy="515219"/>
      </dsp:txXfrm>
    </dsp:sp>
    <dsp:sp modelId="{BE68F87D-8F97-47E8-809C-5576FFFA7C5B}">
      <dsp:nvSpPr>
        <dsp:cNvPr id="0" name=""/>
        <dsp:cNvSpPr/>
      </dsp:nvSpPr>
      <dsp:spPr>
        <a:xfrm rot="16200000">
          <a:off x="1791366" y="858202"/>
          <a:ext cx="728630" cy="728630"/>
        </a:xfrm>
        <a:prstGeom prst="pieWedge">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5560" tIns="35560" rIns="35560" bIns="35560" numCol="1" spcCol="1270" anchor="ctr" anchorCtr="0">
          <a:noAutofit/>
        </a:bodyPr>
        <a:lstStyle/>
        <a:p>
          <a:pPr marL="0" lvl="0" indent="0" algn="ctr" defTabSz="222250">
            <a:lnSpc>
              <a:spcPct val="90000"/>
            </a:lnSpc>
            <a:spcBef>
              <a:spcPct val="0"/>
            </a:spcBef>
            <a:spcAft>
              <a:spcPct val="35000"/>
            </a:spcAft>
            <a:buNone/>
          </a:pPr>
          <a:r>
            <a:rPr lang="bg-BG" sz="500" kern="1200"/>
            <a:t>Икономически коридори</a:t>
          </a:r>
        </a:p>
      </dsp:txBody>
      <dsp:txXfrm rot="5400000">
        <a:off x="2004777" y="858202"/>
        <a:ext cx="515219" cy="515219"/>
      </dsp:txXfrm>
    </dsp:sp>
    <dsp:sp modelId="{BF2CDBAE-2597-4303-921B-01A65047D78A}">
      <dsp:nvSpPr>
        <dsp:cNvPr id="0" name=""/>
        <dsp:cNvSpPr/>
      </dsp:nvSpPr>
      <dsp:spPr>
        <a:xfrm>
          <a:off x="2411039" y="689927"/>
          <a:ext cx="251571" cy="218757"/>
        </a:xfrm>
        <a:prstGeom prst="circularArrow">
          <a:avLst/>
        </a:prstGeom>
        <a:gradFill rotWithShape="0">
          <a:gsLst>
            <a:gs pos="0">
              <a:schemeClr val="dk2">
                <a:tint val="60000"/>
                <a:hueOff val="0"/>
                <a:satOff val="0"/>
                <a:lumOff val="0"/>
                <a:alphaOff val="0"/>
                <a:satMod val="103000"/>
                <a:lumMod val="102000"/>
                <a:tint val="94000"/>
              </a:schemeClr>
            </a:gs>
            <a:gs pos="50000">
              <a:schemeClr val="dk2">
                <a:tint val="60000"/>
                <a:hueOff val="0"/>
                <a:satOff val="0"/>
                <a:lumOff val="0"/>
                <a:alphaOff val="0"/>
                <a:satMod val="110000"/>
                <a:lumMod val="100000"/>
                <a:shade val="100000"/>
              </a:schemeClr>
            </a:gs>
            <a:gs pos="100000">
              <a:schemeClr val="dk2">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dsp:style>
    </dsp:sp>
    <dsp:sp modelId="{F13CBBF6-D773-4EA5-968F-338A800D8296}">
      <dsp:nvSpPr>
        <dsp:cNvPr id="0" name=""/>
        <dsp:cNvSpPr/>
      </dsp:nvSpPr>
      <dsp:spPr>
        <a:xfrm rot="10800000">
          <a:off x="2411039" y="774065"/>
          <a:ext cx="251571" cy="218757"/>
        </a:xfrm>
        <a:prstGeom prst="circularArrow">
          <a:avLst/>
        </a:prstGeom>
        <a:gradFill rotWithShape="0">
          <a:gsLst>
            <a:gs pos="0">
              <a:schemeClr val="dk2">
                <a:tint val="60000"/>
                <a:hueOff val="0"/>
                <a:satOff val="0"/>
                <a:lumOff val="0"/>
                <a:alphaOff val="0"/>
                <a:satMod val="103000"/>
                <a:lumMod val="102000"/>
                <a:tint val="94000"/>
              </a:schemeClr>
            </a:gs>
            <a:gs pos="50000">
              <a:schemeClr val="dk2">
                <a:tint val="60000"/>
                <a:hueOff val="0"/>
                <a:satOff val="0"/>
                <a:lumOff val="0"/>
                <a:alphaOff val="0"/>
                <a:satMod val="110000"/>
                <a:lumMod val="100000"/>
                <a:shade val="100000"/>
              </a:schemeClr>
            </a:gs>
            <a:gs pos="100000">
              <a:schemeClr val="dk2">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Cal08</b:Tag>
    <b:SourceType>Report</b:SourceType>
    <b:Guid>{6850AA1F-16E2-4965-BECB-2E610A4F9C7C}</b:Guid>
    <b:Author>
      <b:Author>
        <b:Corporate>Calculating Transport Congestion and Scarcity Costs</b:Corporate>
      </b:Author>
    </b:Author>
    <b:Title> Final Report of the Expert Advisors to the High Level Group on Infrastructure Charging</b:Title>
    <b:Year>2008</b:Year>
    <b:RefOrder>2</b:RefOrder>
  </b:Source>
  <b:Source>
    <b:Tag>Pri</b:Tag>
    <b:SourceType>Book</b:SourceType>
    <b:Guid>{4C41EBBF-86DD-4A7F-BF48-D40748174721}</b:Guid>
    <b:Title>Pricing European Transport Systems</b:Title>
    <b:RefOrder>3</b:RefOrder>
  </b:Source>
  <b:Source>
    <b:Tag>Tec10</b:Tag>
    <b:SourceType>Book</b:SourceType>
    <b:Guid>{831219B6-816C-4A70-AC0B-D60F10E05F5E}</b:Guid>
    <b:Title>Financing of Road Infrastructures: Guide for New Methods of Financing and Public/Private Partnership</b:Title>
    <b:Year>2010</b:Year>
    <b:Author>
      <b:Author>
        <b:Corporate> Technical Committee Evaluation</b:Corporate>
      </b:Author>
    </b:Author>
    <b:RefOrder>4</b:RefOrder>
  </b:Source>
  <b:Source>
    <b:Tag>OEC21</b:Tag>
    <b:SourceType>Report</b:SourceType>
    <b:Guid>{7FFCB1F7-BF2E-4EBE-A86E-CBED53AFABC9}</b:Guid>
    <b:Author>
      <b:Author>
        <b:Corporate>OECD</b:Corporate>
      </b:Author>
    </b:Author>
    <b:Title>COVID-19 emergency government support and ensuring a level playing field on the road to recovery</b:Title>
    <b:Year>2021</b:Year>
    <b:RefOrder>5</b:RefOrder>
  </b:Source>
  <b:Source>
    <b:Tag>Wor17</b:Tag>
    <b:SourceType>Report</b:SourceType>
    <b:Guid>{92A1EA67-BF22-43B1-AE58-CB76E11B6313}</b:Guid>
    <b:Author>
      <b:Author>
        <b:Corporate>World Bank</b:Corporate>
      </b:Author>
    </b:Author>
    <b:Title> GLOBAL MOBILITY REPORT </b:Title>
    <b:Year>2017</b:Year>
    <b:Publisher>WORLD BANK</b:Publisher>
    <b:City>Washington</b:City>
    <b:RefOrder>6</b:RefOrder>
  </b:Source>
  <b:Source>
    <b:Tag>Евр08</b:Tag>
    <b:SourceType>Report</b:SourceType>
    <b:Guid>{5CD2C185-63D6-4E08-AE67-3C2300827243}</b:Guid>
    <b:Author>
      <b:Author>
        <b:Corporate>Европейска комисия</b:Corporate>
      </b:Author>
    </b:Author>
    <b:Title> Ръководство за анализ на инвестиционни проекти по разходи и ползи</b:Title>
    <b:Year>2008</b:Year>
    <b:Publisher>Европейска комисия</b:Publisher>
    <b:City>Брюксел</b:City>
    <b:RefOrder>1</b:RefOrder>
  </b:Source>
</b:Sources>
</file>

<file path=customXml/itemProps1.xml><?xml version="1.0" encoding="utf-8"?>
<ds:datastoreItem xmlns:ds="http://schemas.openxmlformats.org/officeDocument/2006/customXml" ds:itemID="{490630AE-9840-49EF-B02D-F8B4F4C71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6</Pages>
  <Words>2424</Words>
  <Characters>13823</Characters>
  <Application>Microsoft Office Word</Application>
  <DocSecurity>0</DocSecurity>
  <Lines>115</Lines>
  <Paragraphs>32</Paragraphs>
  <ScaleCrop>false</ScaleCrop>
  <Company/>
  <LinksUpToDate>false</LinksUpToDate>
  <CharactersWithSpaces>16215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Дина Стефанова Цоневска</dc:creator>
  <cp:keywords/>
  <dc:description/>
  <cp:lastModifiedBy>Дина Стефанова Цоневска</cp:lastModifiedBy>
  <cp:revision>7</cp:revision>
  <dcterms:created xsi:type="dcterms:W3CDTF">2023-08-23T08:34:00Z</dcterms:created>
  <dcterms:modified xsi:type="dcterms:W3CDTF">2023-08-23T10:10:00Z</dcterms:modified>
</cp:coreProperties>
</file>