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AD" w:rsidRPr="000A17AD" w:rsidRDefault="000A17AD" w:rsidP="000A17AD">
      <w:pPr>
        <w:spacing w:line="240" w:lineRule="auto"/>
        <w:jc w:val="center"/>
        <w:rPr>
          <w:rFonts w:eastAsia="Times New Roman" w:cstheme="minorHAnsi"/>
          <w:sz w:val="32"/>
          <w:szCs w:val="32"/>
        </w:rPr>
      </w:pPr>
      <w:r w:rsidRPr="000A17AD">
        <w:rPr>
          <w:rFonts w:eastAsia="Times New Roman" w:cstheme="minorHAnsi"/>
          <w:noProof/>
          <w:color w:val="ACACAC"/>
          <w:sz w:val="32"/>
          <w:szCs w:val="32"/>
          <w:bdr w:val="none" w:sz="0" w:space="0" w:color="auto" w:frame="1"/>
        </w:rPr>
        <w:drawing>
          <wp:inline distT="0" distB="0" distL="0" distR="0">
            <wp:extent cx="1379220" cy="617220"/>
            <wp:effectExtent l="0" t="0" r="0" b="0"/>
            <wp:docPr id="2" name="Picture 2" descr="http://fbti.eu/images/fbti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bti.eu/images/fbt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7AD">
        <w:rPr>
          <w:rFonts w:eastAsia="Times New Roman" w:cstheme="minorHAnsi"/>
          <w:color w:val="ACACAC"/>
          <w:sz w:val="32"/>
          <w:szCs w:val="32"/>
        </w:rPr>
        <w:t xml:space="preserve">                                </w:t>
      </w:r>
      <w:r w:rsidRPr="000A17AD">
        <w:rPr>
          <w:rFonts w:eastAsia="Times New Roman" w:cstheme="minorHAnsi"/>
          <w:noProof/>
          <w:color w:val="ACACAC"/>
          <w:sz w:val="32"/>
          <w:szCs w:val="32"/>
          <w:bdr w:val="none" w:sz="0" w:space="0" w:color="auto" w:frame="1"/>
        </w:rPr>
        <w:drawing>
          <wp:inline distT="0" distB="0" distL="0" distR="0">
            <wp:extent cx="1706880" cy="685800"/>
            <wp:effectExtent l="0" t="0" r="7620" b="0"/>
            <wp:docPr id="1" name="Picture 1" descr="logo_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7AD" w:rsidRPr="000A17AD" w:rsidRDefault="000A17AD" w:rsidP="000A17AD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0A17AD" w:rsidRDefault="000A17AD" w:rsidP="000A17AD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</w:p>
    <w:p w:rsidR="000A17AD" w:rsidRDefault="000A17AD" w:rsidP="000A17AD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</w:p>
    <w:p w:rsidR="000A17AD" w:rsidRPr="000A17AD" w:rsidRDefault="000A17AD" w:rsidP="000A17AD">
      <w:pPr>
        <w:spacing w:line="240" w:lineRule="auto"/>
        <w:jc w:val="center"/>
        <w:rPr>
          <w:rFonts w:eastAsia="Times New Roman" w:cstheme="minorHAnsi"/>
          <w:sz w:val="32"/>
          <w:szCs w:val="32"/>
        </w:rPr>
      </w:pPr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ЗАКЛЮЧИТЕЛЕН ДОКУМЕНТ</w:t>
      </w:r>
    </w:p>
    <w:p w:rsidR="000A17AD" w:rsidRDefault="000A17AD" w:rsidP="000A17AD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</w:p>
    <w:p w:rsidR="000A17AD" w:rsidRDefault="000A17AD" w:rsidP="000A17AD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</w:p>
    <w:p w:rsidR="000A17AD" w:rsidRPr="000A17AD" w:rsidRDefault="000A17AD" w:rsidP="000A17AD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ДО </w:t>
      </w:r>
    </w:p>
    <w:p w:rsidR="000A17AD" w:rsidRPr="000A17AD" w:rsidRDefault="000A17AD" w:rsidP="000A17AD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ПРАВИТЕЛСТВОТО НА РЕПУБЛИКА БЪЛГАРИЯ</w:t>
      </w:r>
    </w:p>
    <w:p w:rsidR="000A17AD" w:rsidRPr="000A17AD" w:rsidRDefault="000A17AD" w:rsidP="000A17AD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ДО</w:t>
      </w:r>
    </w:p>
    <w:p w:rsidR="000A17AD" w:rsidRPr="000A17AD" w:rsidRDefault="000A17AD" w:rsidP="000A17AD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ПАРЛАМЕНТАРНИТЕ ГРУПИ В 48-ТО НАРОДНО СЪБРАНИЕ</w:t>
      </w:r>
    </w:p>
    <w:p w:rsidR="000A17AD" w:rsidRPr="000A17AD" w:rsidRDefault="000A17AD" w:rsidP="000A17AD">
      <w:pPr>
        <w:spacing w:line="240" w:lineRule="auto"/>
        <w:ind w:left="2880" w:firstLine="720"/>
        <w:rPr>
          <w:rFonts w:eastAsia="Times New Roman" w:cstheme="minorHAnsi"/>
          <w:sz w:val="32"/>
          <w:szCs w:val="32"/>
        </w:rPr>
      </w:pPr>
    </w:p>
    <w:p w:rsidR="000A17AD" w:rsidRPr="000A17AD" w:rsidRDefault="000A17AD" w:rsidP="000A17AD">
      <w:pPr>
        <w:spacing w:line="240" w:lineRule="auto"/>
        <w:ind w:left="2880" w:firstLine="720"/>
        <w:rPr>
          <w:rFonts w:eastAsia="Times New Roman" w:cstheme="minorHAnsi"/>
          <w:sz w:val="32"/>
          <w:szCs w:val="32"/>
          <w:lang w:val="bg-BG"/>
        </w:rPr>
      </w:pPr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ПРЕДЛОЖЕНИЕ</w:t>
      </w:r>
      <w:r w:rsidRPr="000A17AD">
        <w:rPr>
          <w:rFonts w:eastAsia="Times New Roman" w:cstheme="minorHAnsi"/>
          <w:sz w:val="32"/>
          <w:szCs w:val="32"/>
          <w:lang w:val="bg-BG"/>
        </w:rPr>
        <w:t>,</w:t>
      </w:r>
    </w:p>
    <w:p w:rsidR="000A17AD" w:rsidRPr="000A17AD" w:rsidRDefault="000A17AD" w:rsidP="000A17AD">
      <w:pPr>
        <w:spacing w:line="240" w:lineRule="auto"/>
        <w:rPr>
          <w:rFonts w:eastAsia="Times New Roman" w:cstheme="minorHAnsi"/>
          <w:sz w:val="32"/>
          <w:szCs w:val="32"/>
        </w:rPr>
      </w:pPr>
      <w:r w:rsidRPr="000A17AD">
        <w:rPr>
          <w:rFonts w:eastAsia="Times New Roman" w:cstheme="minorHAnsi"/>
          <w:b/>
          <w:bCs/>
          <w:color w:val="000000"/>
          <w:sz w:val="32"/>
          <w:szCs w:val="32"/>
          <w:lang w:val="bg-BG"/>
        </w:rPr>
        <w:t xml:space="preserve">                           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прието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от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участниците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в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Кръгла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маса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на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тема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>: </w:t>
      </w:r>
    </w:p>
    <w:p w:rsidR="000A17AD" w:rsidRDefault="000A17AD" w:rsidP="000A17A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</w:p>
    <w:p w:rsidR="000A17AD" w:rsidRPr="000A17AD" w:rsidRDefault="000A17AD" w:rsidP="000A17AD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„ДВЕ ГОДИНИ ТОЛ СИСТЕМА - ПЛЮСОВЕ И МИНУСИ. УСКОРЯВАНЕ РАЗВИТИЕТО И ИЗГРАЖДАНЕТО НА АВТОМАГИСТРАЛИТЕ В БЪЛГАРИЯ ЧРЕЗ ПУБЛИЧНО-ЧАСТНО ПАРТНЬОРСТВО (ПЧП). НЕОБХОДИМИ ПРОМЕНИ В ПОЛИТИКАТА НА </w:t>
      </w:r>
      <w:proofErr w:type="gram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ТАКСУВАНЕ“</w:t>
      </w:r>
      <w:proofErr w:type="gram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,</w:t>
      </w:r>
    </w:p>
    <w:p w:rsidR="000A17AD" w:rsidRDefault="000A17AD" w:rsidP="000A17AD">
      <w:pPr>
        <w:spacing w:after="0" w:line="240" w:lineRule="auto"/>
        <w:ind w:left="57"/>
        <w:jc w:val="both"/>
        <w:rPr>
          <w:rFonts w:eastAsia="Times New Roman" w:cstheme="minorHAnsi"/>
          <w:color w:val="000000"/>
          <w:sz w:val="32"/>
          <w:szCs w:val="32"/>
        </w:rPr>
      </w:pP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организирана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от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Форум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за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балкански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транспорт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и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инфраструктура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и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Научно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-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технически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съюз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по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транспорта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, 20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октомври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2022г.</w:t>
      </w:r>
    </w:p>
    <w:p w:rsidR="000A17AD" w:rsidRPr="000A17AD" w:rsidRDefault="000A17AD" w:rsidP="000A17AD">
      <w:pPr>
        <w:spacing w:after="0" w:line="240" w:lineRule="auto"/>
        <w:ind w:left="57"/>
        <w:jc w:val="both"/>
        <w:rPr>
          <w:rFonts w:eastAsia="Times New Roman" w:cstheme="minorHAnsi"/>
          <w:sz w:val="32"/>
          <w:szCs w:val="32"/>
        </w:rPr>
      </w:pPr>
    </w:p>
    <w:p w:rsidR="000A17AD" w:rsidRPr="000A17AD" w:rsidRDefault="000A17AD" w:rsidP="000A17AD">
      <w:pPr>
        <w:spacing w:after="0" w:line="240" w:lineRule="auto"/>
        <w:ind w:left="57"/>
        <w:jc w:val="both"/>
        <w:rPr>
          <w:rFonts w:eastAsia="Times New Roman" w:cstheme="minorHAnsi"/>
          <w:sz w:val="32"/>
          <w:szCs w:val="32"/>
        </w:rPr>
      </w:pPr>
      <w:r w:rsidRPr="000A17AD">
        <w:rPr>
          <w:rFonts w:eastAsia="Times New Roman" w:cstheme="minorHAnsi"/>
          <w:color w:val="000000"/>
          <w:sz w:val="32"/>
          <w:szCs w:val="32"/>
        </w:rPr>
        <w:tab/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Целта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на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Кръглата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маса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беше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да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се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обсъди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ефективността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от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функциониране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на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ТОЛ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системата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за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таксуване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по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пътищата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през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последните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две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години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>. </w:t>
      </w:r>
    </w:p>
    <w:p w:rsidR="000A17AD" w:rsidRPr="000A17AD" w:rsidRDefault="000A17AD" w:rsidP="000A17AD">
      <w:pPr>
        <w:spacing w:after="0" w:line="240" w:lineRule="auto"/>
        <w:ind w:left="57"/>
        <w:jc w:val="both"/>
        <w:rPr>
          <w:rFonts w:eastAsia="Times New Roman" w:cstheme="minorHAnsi"/>
          <w:sz w:val="32"/>
          <w:szCs w:val="32"/>
        </w:rPr>
      </w:pPr>
      <w:r w:rsidRPr="000A17AD">
        <w:rPr>
          <w:rFonts w:eastAsia="Times New Roman" w:cstheme="minorHAnsi"/>
          <w:color w:val="000000"/>
          <w:sz w:val="32"/>
          <w:szCs w:val="32"/>
        </w:rPr>
        <w:tab/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Характерно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за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периода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беше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>:</w:t>
      </w:r>
    </w:p>
    <w:p w:rsidR="000A17AD" w:rsidRPr="000A17AD" w:rsidRDefault="000A17AD" w:rsidP="000A17AD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eastAsia="Times New Roman" w:cstheme="minorHAnsi"/>
          <w:color w:val="000000"/>
          <w:sz w:val="32"/>
          <w:szCs w:val="32"/>
        </w:rPr>
      </w:pP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усложнената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политическа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обстановка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в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Европа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и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света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>; </w:t>
      </w:r>
    </w:p>
    <w:p w:rsidR="000A17AD" w:rsidRPr="000A17AD" w:rsidRDefault="000A17AD" w:rsidP="000A17AD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eastAsia="Times New Roman" w:cstheme="minorHAnsi"/>
          <w:color w:val="000000"/>
          <w:sz w:val="32"/>
          <w:szCs w:val="32"/>
        </w:rPr>
      </w:pP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повишаване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цената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на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горивата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и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енергийните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източници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>; </w:t>
      </w:r>
    </w:p>
    <w:p w:rsidR="000A17AD" w:rsidRPr="000A17AD" w:rsidRDefault="000A17AD" w:rsidP="000A17AD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eastAsia="Times New Roman" w:cstheme="minorHAnsi"/>
          <w:color w:val="000000"/>
          <w:sz w:val="32"/>
          <w:szCs w:val="32"/>
        </w:rPr>
      </w:pP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lastRenderedPageBreak/>
        <w:t>нарастваща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инфлация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>; </w:t>
      </w:r>
    </w:p>
    <w:p w:rsidR="000A17AD" w:rsidRPr="000A17AD" w:rsidRDefault="000A17AD" w:rsidP="000A17AD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eastAsia="Times New Roman" w:cstheme="minorHAnsi"/>
          <w:color w:val="000000"/>
          <w:sz w:val="32"/>
          <w:szCs w:val="32"/>
        </w:rPr>
      </w:pP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подпомагане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на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бизнеса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за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запазване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на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неговата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конкурентноспособност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>;</w:t>
      </w:r>
    </w:p>
    <w:p w:rsidR="000A17AD" w:rsidRPr="000A17AD" w:rsidRDefault="000A17AD" w:rsidP="000A17AD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eastAsia="Times New Roman" w:cstheme="minorHAnsi"/>
          <w:color w:val="000000"/>
          <w:sz w:val="32"/>
          <w:szCs w:val="32"/>
        </w:rPr>
      </w:pP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необходимостта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от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преодоляване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на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социалните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сривове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>; </w:t>
      </w:r>
    </w:p>
    <w:p w:rsidR="000A17AD" w:rsidRPr="000A17AD" w:rsidRDefault="000A17AD" w:rsidP="000A17AD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eastAsia="Times New Roman" w:cstheme="minorHAnsi"/>
          <w:color w:val="000000"/>
          <w:sz w:val="32"/>
          <w:szCs w:val="32"/>
        </w:rPr>
      </w:pP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увеличеното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финансиране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в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здравеопазването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и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другите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социални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сфери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>; </w:t>
      </w:r>
    </w:p>
    <w:p w:rsidR="000A17AD" w:rsidRPr="000A17AD" w:rsidRDefault="000A17AD" w:rsidP="000A17AD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eastAsia="Times New Roman" w:cstheme="minorHAnsi"/>
          <w:color w:val="000000"/>
          <w:sz w:val="32"/>
          <w:szCs w:val="32"/>
        </w:rPr>
      </w:pP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техническо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обновяване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на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въоръжението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на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българската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армия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>; </w:t>
      </w:r>
    </w:p>
    <w:p w:rsidR="000A17AD" w:rsidRPr="000A17AD" w:rsidRDefault="000A17AD" w:rsidP="000A17AD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eastAsia="Times New Roman" w:cstheme="minorHAnsi"/>
          <w:color w:val="000000"/>
          <w:sz w:val="32"/>
          <w:szCs w:val="32"/>
        </w:rPr>
      </w:pP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по-високи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цени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на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строителните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дейности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,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ремонта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и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рехабилитацията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на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инфраструктурните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обекти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>; </w:t>
      </w:r>
    </w:p>
    <w:p w:rsidR="000A17AD" w:rsidRPr="000A17AD" w:rsidRDefault="000A17AD" w:rsidP="000A17AD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eastAsia="Times New Roman" w:cstheme="minorHAnsi"/>
          <w:color w:val="000000"/>
          <w:sz w:val="32"/>
          <w:szCs w:val="32"/>
        </w:rPr>
      </w:pP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насочване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на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европейските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средства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главно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към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железопътния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транспорт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>. </w:t>
      </w:r>
    </w:p>
    <w:p w:rsidR="000A17AD" w:rsidRPr="000A17AD" w:rsidRDefault="000A17AD" w:rsidP="000A17AD">
      <w:pPr>
        <w:spacing w:after="0" w:line="240" w:lineRule="auto"/>
        <w:ind w:left="57"/>
        <w:jc w:val="both"/>
        <w:rPr>
          <w:rFonts w:eastAsia="Times New Roman" w:cstheme="minorHAnsi"/>
          <w:sz w:val="32"/>
          <w:szCs w:val="32"/>
        </w:rPr>
      </w:pPr>
      <w:r w:rsidRPr="000A17AD">
        <w:rPr>
          <w:rFonts w:eastAsia="Times New Roman" w:cstheme="minorHAnsi"/>
          <w:color w:val="000000"/>
          <w:sz w:val="32"/>
          <w:szCs w:val="32"/>
        </w:rPr>
        <w:tab/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Всичко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това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постави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въпроса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ще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има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ли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достатъчно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средства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за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ускорено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строителство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и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ремонт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на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българските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автомагистрали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и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може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ли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да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намерим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път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за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обединяване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усилията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на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държавата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,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неправителствения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сектор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,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българския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и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чуждестранния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бизнес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,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желаещ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да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инвестира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у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нас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>. </w:t>
      </w:r>
    </w:p>
    <w:p w:rsidR="000A17AD" w:rsidRPr="000A17AD" w:rsidRDefault="000A17AD" w:rsidP="000A17AD">
      <w:pPr>
        <w:spacing w:after="0" w:line="240" w:lineRule="auto"/>
        <w:ind w:left="57"/>
        <w:jc w:val="both"/>
        <w:rPr>
          <w:rFonts w:eastAsia="Times New Roman" w:cstheme="minorHAnsi"/>
          <w:sz w:val="32"/>
          <w:szCs w:val="32"/>
        </w:rPr>
      </w:pPr>
      <w:r w:rsidRPr="000A17AD">
        <w:rPr>
          <w:rFonts w:eastAsia="Times New Roman" w:cstheme="minorHAnsi"/>
          <w:color w:val="000000"/>
          <w:sz w:val="32"/>
          <w:szCs w:val="32"/>
        </w:rPr>
        <w:t xml:space="preserve">В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заключение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,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след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като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>:</w:t>
      </w:r>
    </w:p>
    <w:p w:rsidR="000A17AD" w:rsidRPr="000A17AD" w:rsidRDefault="000A17AD" w:rsidP="000A17AD">
      <w:pPr>
        <w:numPr>
          <w:ilvl w:val="0"/>
          <w:numId w:val="2"/>
        </w:numPr>
        <w:spacing w:after="0" w:line="240" w:lineRule="auto"/>
        <w:ind w:left="1554"/>
        <w:jc w:val="both"/>
        <w:textAlignment w:val="baseline"/>
        <w:rPr>
          <w:rFonts w:eastAsia="Times New Roman" w:cstheme="minorHAnsi"/>
          <w:color w:val="000000"/>
          <w:sz w:val="32"/>
          <w:szCs w:val="32"/>
        </w:rPr>
      </w:pP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изслуша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докладите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на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Министерството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на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регионалното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развитие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и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благоустройството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gramStart"/>
      <w:r w:rsidRPr="000A17AD">
        <w:rPr>
          <w:rFonts w:eastAsia="Times New Roman" w:cstheme="minorHAnsi"/>
          <w:color w:val="000000"/>
          <w:sz w:val="32"/>
          <w:szCs w:val="32"/>
        </w:rPr>
        <w:t xml:space="preserve">и 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Агенцията</w:t>
      </w:r>
      <w:proofErr w:type="spellEnd"/>
      <w:proofErr w:type="gramEnd"/>
      <w:r w:rsidRPr="000A17AD">
        <w:rPr>
          <w:rFonts w:eastAsia="Times New Roman" w:cstheme="minorHAnsi"/>
          <w:color w:val="000000"/>
          <w:sz w:val="32"/>
          <w:szCs w:val="32"/>
        </w:rPr>
        <w:t xml:space="preserve"> „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Пътна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инфраструктура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>“;</w:t>
      </w:r>
    </w:p>
    <w:p w:rsidR="000A17AD" w:rsidRPr="000A17AD" w:rsidRDefault="000A17AD" w:rsidP="000A17AD">
      <w:pPr>
        <w:numPr>
          <w:ilvl w:val="0"/>
          <w:numId w:val="2"/>
        </w:numPr>
        <w:spacing w:after="0" w:line="240" w:lineRule="auto"/>
        <w:ind w:left="1554"/>
        <w:jc w:val="both"/>
        <w:textAlignment w:val="baseline"/>
        <w:rPr>
          <w:rFonts w:eastAsia="Times New Roman" w:cstheme="minorHAnsi"/>
          <w:color w:val="000000"/>
          <w:sz w:val="32"/>
          <w:szCs w:val="32"/>
        </w:rPr>
      </w:pPr>
      <w:r w:rsidRPr="000A17AD">
        <w:rPr>
          <w:rFonts w:eastAsia="Times New Roman" w:cstheme="minorHAnsi"/>
          <w:color w:val="000000"/>
          <w:sz w:val="32"/>
          <w:szCs w:val="32"/>
        </w:rPr>
        <w:t> 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се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запозна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с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актуалното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състояние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и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развитие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на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пътната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инфраструктура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и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възможностите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за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ускоряване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на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строителството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на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автомагистралите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,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връзките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между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тях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и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рехабилитацията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на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всички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останали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пътни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мрежи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>;</w:t>
      </w:r>
    </w:p>
    <w:p w:rsidR="000A17AD" w:rsidRPr="000A17AD" w:rsidRDefault="000A17AD" w:rsidP="000A17AD">
      <w:pPr>
        <w:numPr>
          <w:ilvl w:val="0"/>
          <w:numId w:val="2"/>
        </w:numPr>
        <w:spacing w:after="0" w:line="240" w:lineRule="auto"/>
        <w:ind w:left="777"/>
        <w:jc w:val="both"/>
        <w:textAlignment w:val="baseline"/>
        <w:rPr>
          <w:rFonts w:eastAsia="Times New Roman" w:cstheme="minorHAnsi"/>
          <w:color w:val="000000"/>
          <w:sz w:val="32"/>
          <w:szCs w:val="32"/>
        </w:rPr>
      </w:pP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се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запозна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с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възможностите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на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публичното-частно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партньорство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за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осигуряване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финансирането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и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ускоряване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строителството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на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инфраструктурни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проекти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и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пътища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,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както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и с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опита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на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други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страни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по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света</w:t>
      </w:r>
      <w:proofErr w:type="spellEnd"/>
    </w:p>
    <w:p w:rsidR="000A17AD" w:rsidRPr="000A17AD" w:rsidRDefault="000A17AD" w:rsidP="000A17AD">
      <w:pPr>
        <w:spacing w:after="0" w:line="240" w:lineRule="auto"/>
        <w:jc w:val="both"/>
        <w:rPr>
          <w:rFonts w:eastAsia="Times New Roman" w:cstheme="minorHAnsi"/>
          <w:sz w:val="32"/>
          <w:szCs w:val="32"/>
        </w:rPr>
      </w:pPr>
      <w:r w:rsidRPr="000A17AD">
        <w:rPr>
          <w:rFonts w:eastAsia="Times New Roman" w:cstheme="minorHAnsi"/>
          <w:color w:val="000000"/>
          <w:sz w:val="32"/>
          <w:szCs w:val="32"/>
        </w:rPr>
        <w:t xml:space="preserve">и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след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проведената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дискусия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по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всички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тези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теми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и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взехме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под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внимание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представените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color w:val="000000"/>
          <w:sz w:val="32"/>
          <w:szCs w:val="32"/>
        </w:rPr>
        <w:t>становища</w:t>
      </w:r>
      <w:proofErr w:type="spellEnd"/>
      <w:r w:rsidRPr="000A17AD">
        <w:rPr>
          <w:rFonts w:eastAsia="Times New Roman" w:cstheme="minorHAnsi"/>
          <w:color w:val="000000"/>
          <w:sz w:val="32"/>
          <w:szCs w:val="32"/>
        </w:rPr>
        <w:t>,</w:t>
      </w:r>
    </w:p>
    <w:p w:rsidR="000A17AD" w:rsidRPr="000A17AD" w:rsidRDefault="000A17AD" w:rsidP="000A17AD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0A17AD" w:rsidRDefault="000A17AD" w:rsidP="000A17AD">
      <w:pPr>
        <w:spacing w:after="0" w:line="240" w:lineRule="auto"/>
        <w:ind w:left="57"/>
        <w:jc w:val="both"/>
        <w:rPr>
          <w:rFonts w:eastAsia="Times New Roman" w:cstheme="minorHAnsi"/>
          <w:b/>
          <w:bCs/>
          <w:color w:val="000000"/>
          <w:sz w:val="32"/>
          <w:szCs w:val="32"/>
        </w:rPr>
      </w:pPr>
    </w:p>
    <w:p w:rsidR="000A17AD" w:rsidRPr="000A17AD" w:rsidRDefault="000A17AD" w:rsidP="000A17AD">
      <w:pPr>
        <w:spacing w:after="0" w:line="240" w:lineRule="auto"/>
        <w:ind w:left="57"/>
        <w:jc w:val="both"/>
        <w:rPr>
          <w:rFonts w:eastAsia="Times New Roman" w:cstheme="minorHAnsi"/>
          <w:sz w:val="32"/>
          <w:szCs w:val="32"/>
        </w:rPr>
      </w:pPr>
      <w:bookmarkStart w:id="0" w:name="_GoBack"/>
      <w:bookmarkEnd w:id="0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lastRenderedPageBreak/>
        <w:t>ПРЕДЛАГАМЕ:</w:t>
      </w:r>
    </w:p>
    <w:p w:rsidR="000A17AD" w:rsidRPr="000A17AD" w:rsidRDefault="000A17AD" w:rsidP="000A17AD">
      <w:pPr>
        <w:spacing w:after="0" w:line="240" w:lineRule="auto"/>
        <w:ind w:left="57"/>
        <w:jc w:val="both"/>
        <w:rPr>
          <w:rFonts w:eastAsia="Times New Roman" w:cstheme="minorHAnsi"/>
          <w:sz w:val="32"/>
          <w:szCs w:val="32"/>
        </w:rPr>
      </w:pPr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-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По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инициатива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на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МРРБ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да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се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създаде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работна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група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, с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участието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на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неправителствения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сектор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и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бизнеса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,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която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да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предложи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необходимите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промени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във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функционирането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на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ТОЛ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системата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, и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общото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таксуване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на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пътищата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,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както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и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ангажимента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на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българската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държава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за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модернизиране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на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пътната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инфраструктура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,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за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осигуряване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финансирането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на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ускорена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програма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за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развитие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на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българските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пътища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;</w:t>
      </w:r>
    </w:p>
    <w:p w:rsidR="000A17AD" w:rsidRPr="000A17AD" w:rsidRDefault="000A17AD" w:rsidP="000A17AD">
      <w:pPr>
        <w:spacing w:after="0" w:line="240" w:lineRule="auto"/>
        <w:ind w:left="57"/>
        <w:jc w:val="both"/>
        <w:rPr>
          <w:rFonts w:eastAsia="Times New Roman" w:cstheme="minorHAnsi"/>
          <w:sz w:val="32"/>
          <w:szCs w:val="32"/>
        </w:rPr>
      </w:pPr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-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Публично-частното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партньорство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е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добра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възможност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за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включване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на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частни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инвестиции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в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процеса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на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изграждане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на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автомагистралите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в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България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,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както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и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съпътстващата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инфраструктура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.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То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ще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облекчи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бюджета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и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ще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подпомогне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използването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на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„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спящите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proofErr w:type="gram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пари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“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от</w:t>
      </w:r>
      <w:proofErr w:type="spellEnd"/>
      <w:proofErr w:type="gram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пенсионни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инвестиционни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фондове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,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банковия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сектор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и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други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финансови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институции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,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като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се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промени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съответната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нормативна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база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.</w:t>
      </w:r>
    </w:p>
    <w:p w:rsidR="000A17AD" w:rsidRPr="000A17AD" w:rsidRDefault="000A17AD" w:rsidP="000A17AD">
      <w:pPr>
        <w:numPr>
          <w:ilvl w:val="0"/>
          <w:numId w:val="3"/>
        </w:numPr>
        <w:spacing w:after="0" w:line="240" w:lineRule="auto"/>
        <w:ind w:left="142"/>
        <w:jc w:val="both"/>
        <w:textAlignment w:val="baseline"/>
        <w:rPr>
          <w:rFonts w:eastAsia="Times New Roman" w:cstheme="minorHAnsi"/>
          <w:color w:val="000000"/>
          <w:sz w:val="32"/>
          <w:szCs w:val="32"/>
        </w:rPr>
      </w:pP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Министерството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на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регионалното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развитие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и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благоустройството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,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Министерството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на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транспорта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и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съобщенията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и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Агенция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„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Пътна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proofErr w:type="gram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Инфраструктура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“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да</w:t>
      </w:r>
      <w:proofErr w:type="spellEnd"/>
      <w:proofErr w:type="gram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започат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процедури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по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промени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в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нормативната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база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за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ускоряване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 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изграждането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на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автомагистралите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и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обекти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с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национално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значение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,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като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елемент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на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цялостната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инфраструктура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в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България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и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Европейския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съюз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.</w:t>
      </w:r>
    </w:p>
    <w:p w:rsidR="000A17AD" w:rsidRPr="000A17AD" w:rsidRDefault="000A17AD" w:rsidP="000A17AD">
      <w:pPr>
        <w:spacing w:after="240" w:line="240" w:lineRule="auto"/>
        <w:rPr>
          <w:rFonts w:eastAsia="Times New Roman" w:cstheme="minorHAnsi"/>
          <w:sz w:val="32"/>
          <w:szCs w:val="32"/>
        </w:rPr>
      </w:pPr>
    </w:p>
    <w:p w:rsidR="000A17AD" w:rsidRPr="000A17AD" w:rsidRDefault="000A17AD" w:rsidP="000A17AD">
      <w:pPr>
        <w:spacing w:after="0" w:line="240" w:lineRule="auto"/>
        <w:ind w:left="57"/>
        <w:jc w:val="both"/>
        <w:rPr>
          <w:rFonts w:eastAsia="Times New Roman" w:cstheme="minorHAnsi"/>
          <w:sz w:val="32"/>
          <w:szCs w:val="32"/>
        </w:rPr>
      </w:pP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За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участниците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в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кръглата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маса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 </w:t>
      </w:r>
    </w:p>
    <w:p w:rsidR="000A17AD" w:rsidRPr="000A17AD" w:rsidRDefault="000A17AD" w:rsidP="000A17AD">
      <w:pPr>
        <w:spacing w:after="240" w:line="240" w:lineRule="auto"/>
        <w:rPr>
          <w:rFonts w:eastAsia="Times New Roman" w:cstheme="minorHAnsi"/>
          <w:sz w:val="32"/>
          <w:szCs w:val="32"/>
        </w:rPr>
      </w:pPr>
    </w:p>
    <w:p w:rsidR="000A17AD" w:rsidRPr="000A17AD" w:rsidRDefault="000A17AD" w:rsidP="000A17AD">
      <w:pPr>
        <w:spacing w:after="0" w:line="240" w:lineRule="auto"/>
        <w:ind w:left="57"/>
        <w:jc w:val="both"/>
        <w:rPr>
          <w:rFonts w:eastAsia="Times New Roman" w:cstheme="minorHAnsi"/>
          <w:sz w:val="32"/>
          <w:szCs w:val="32"/>
        </w:rPr>
      </w:pPr>
      <w:r w:rsidRPr="000A17AD">
        <w:rPr>
          <w:rFonts w:eastAsia="Times New Roman" w:cstheme="minorHAnsi"/>
          <w:color w:val="000000"/>
          <w:sz w:val="32"/>
          <w:szCs w:val="32"/>
        </w:rPr>
        <w:t>....................................                                                             .......................................</w:t>
      </w:r>
    </w:p>
    <w:p w:rsidR="000A17AD" w:rsidRPr="000A17AD" w:rsidRDefault="000A17AD" w:rsidP="000A17AD">
      <w:pPr>
        <w:spacing w:after="0" w:line="240" w:lineRule="auto"/>
        <w:ind w:left="57"/>
        <w:jc w:val="both"/>
        <w:rPr>
          <w:rFonts w:eastAsia="Times New Roman" w:cstheme="minorHAnsi"/>
          <w:sz w:val="32"/>
          <w:szCs w:val="32"/>
        </w:rPr>
      </w:pPr>
      <w:proofErr w:type="spellStart"/>
      <w:proofErr w:type="gram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инж.Петър</w:t>
      </w:r>
      <w:proofErr w:type="spellEnd"/>
      <w:proofErr w:type="gram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Мутафчиев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                                                               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инж.Ясен</w:t>
      </w:r>
      <w:proofErr w:type="spellEnd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 xml:space="preserve">   </w:t>
      </w:r>
      <w:proofErr w:type="spellStart"/>
      <w:r w:rsidRPr="000A17AD">
        <w:rPr>
          <w:rFonts w:eastAsia="Times New Roman" w:cstheme="minorHAnsi"/>
          <w:b/>
          <w:bCs/>
          <w:color w:val="000000"/>
          <w:sz w:val="32"/>
          <w:szCs w:val="32"/>
        </w:rPr>
        <w:t>Ишев</w:t>
      </w:r>
      <w:proofErr w:type="spellEnd"/>
    </w:p>
    <w:p w:rsidR="000A437F" w:rsidRPr="000A17AD" w:rsidRDefault="000A437F">
      <w:pPr>
        <w:rPr>
          <w:rFonts w:cstheme="minorHAnsi"/>
          <w:sz w:val="32"/>
          <w:szCs w:val="32"/>
        </w:rPr>
      </w:pPr>
    </w:p>
    <w:sectPr w:rsidR="000A437F" w:rsidRPr="000A17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83DDB"/>
    <w:multiLevelType w:val="multilevel"/>
    <w:tmpl w:val="6ED8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E74E8C"/>
    <w:multiLevelType w:val="multilevel"/>
    <w:tmpl w:val="5234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220E67"/>
    <w:multiLevelType w:val="multilevel"/>
    <w:tmpl w:val="9390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AD"/>
    <w:rsid w:val="000A17AD"/>
    <w:rsid w:val="000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C31D4"/>
  <w15:chartTrackingRefBased/>
  <w15:docId w15:val="{814B14AC-DF16-4669-93FE-6663B6C6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A1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bti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2022-10-20T12:35:00Z</dcterms:created>
  <dcterms:modified xsi:type="dcterms:W3CDTF">2022-10-20T12:40:00Z</dcterms:modified>
</cp:coreProperties>
</file>